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3F0" w14:textId="6DE34517" w:rsidR="00E23314" w:rsidRPr="00656DBC" w:rsidRDefault="00330A6D" w:rsidP="004701B1">
      <w:pPr>
        <w:jc w:val="center"/>
        <w:rPr>
          <w:rFonts w:ascii="Times New Roman" w:hAnsi="Times New Roman" w:cs="Times New Roman"/>
          <w:bCs/>
        </w:rPr>
      </w:pPr>
      <w:r>
        <w:rPr>
          <w:rFonts w:ascii="Times New Roman" w:hAnsi="Times New Roman" w:cs="Times New Roman"/>
          <w:b/>
        </w:rPr>
        <w:t xml:space="preserve">FY2026 </w:t>
      </w:r>
      <w:r w:rsidR="00104D0E">
        <w:rPr>
          <w:rFonts w:ascii="Times New Roman" w:hAnsi="Times New Roman" w:cs="Times New Roman"/>
          <w:b/>
        </w:rPr>
        <w:t>Continuum of Care Competition and Youth Homeless Demonstration Program Grants Notice of Funding Opportunity (NOFO)</w:t>
      </w:r>
      <w:r w:rsidR="00E23314" w:rsidRPr="000779D5">
        <w:rPr>
          <w:rFonts w:ascii="Times New Roman" w:hAnsi="Times New Roman" w:cs="Times New Roman"/>
          <w:b/>
        </w:rPr>
        <w:t xml:space="preserve"> </w:t>
      </w:r>
      <w:r w:rsidR="00623973">
        <w:rPr>
          <w:rFonts w:ascii="Times New Roman" w:hAnsi="Times New Roman" w:cs="Times New Roman"/>
          <w:b/>
        </w:rPr>
        <w:t>overview</w:t>
      </w:r>
      <w:r w:rsidR="0042262B" w:rsidRPr="000779D5">
        <w:rPr>
          <w:rFonts w:ascii="Times New Roman" w:hAnsi="Times New Roman" w:cs="Times New Roman"/>
          <w:b/>
        </w:rPr>
        <w:t xml:space="preserve"> </w:t>
      </w:r>
      <w:r w:rsidR="004A2BF9">
        <w:rPr>
          <w:rFonts w:ascii="Times New Roman" w:hAnsi="Times New Roman" w:cs="Times New Roman"/>
          <w:bCs/>
        </w:rPr>
        <w:t>(</w:t>
      </w:r>
      <w:r w:rsidR="005106A9">
        <w:rPr>
          <w:rFonts w:ascii="Times New Roman" w:hAnsi="Times New Roman" w:cs="Times New Roman"/>
          <w:bCs/>
          <w:color w:val="FF0000"/>
        </w:rPr>
        <w:t>7/9</w:t>
      </w:r>
      <w:r w:rsidR="004A2BF9" w:rsidRPr="00131F7D">
        <w:rPr>
          <w:rFonts w:ascii="Times New Roman" w:hAnsi="Times New Roman" w:cs="Times New Roman"/>
          <w:bCs/>
          <w:color w:val="FF0000"/>
        </w:rPr>
        <w:t>/2026</w:t>
      </w:r>
      <w:r w:rsidR="004A2BF9">
        <w:rPr>
          <w:rFonts w:ascii="Times New Roman" w:hAnsi="Times New Roman" w:cs="Times New Roman"/>
          <w:bCs/>
        </w:rPr>
        <w:t>)</w:t>
      </w:r>
    </w:p>
    <w:p w14:paraId="7CECA73D" w14:textId="4AB7E1BB" w:rsidR="00E23314" w:rsidRPr="0076511E" w:rsidRDefault="00E23314" w:rsidP="005B42C5">
      <w:pPr>
        <w:jc w:val="center"/>
        <w:rPr>
          <w:rFonts w:ascii="Times New Roman" w:hAnsi="Times New Roman" w:cs="Times New Roman"/>
          <w:color w:val="FF0000"/>
        </w:rPr>
      </w:pPr>
      <w:r w:rsidRPr="000779D5">
        <w:rPr>
          <w:rFonts w:ascii="Times New Roman" w:hAnsi="Times New Roman" w:cs="Times New Roman"/>
        </w:rPr>
        <w:t>Fun</w:t>
      </w:r>
      <w:r w:rsidR="003F0F4A" w:rsidRPr="000779D5">
        <w:rPr>
          <w:rFonts w:ascii="Times New Roman" w:hAnsi="Times New Roman" w:cs="Times New Roman"/>
        </w:rPr>
        <w:t xml:space="preserve">ding Opportunity Number: </w:t>
      </w:r>
      <w:r w:rsidR="00D75C14">
        <w:rPr>
          <w:rFonts w:ascii="Times New Roman" w:hAnsi="Times New Roman" w:cs="Times New Roman"/>
        </w:rPr>
        <w:t>CPD-2600-DC-0025</w:t>
      </w:r>
      <w:r w:rsidR="00DE2D05" w:rsidRPr="000F5C65">
        <w:rPr>
          <w:rFonts w:ascii="Times New Roman" w:hAnsi="Times New Roman" w:cs="Times New Roman"/>
        </w:rPr>
        <w:t xml:space="preserve"> </w:t>
      </w:r>
      <w:r w:rsidR="00374A2D">
        <w:rPr>
          <w:rFonts w:ascii="Times New Roman" w:hAnsi="Times New Roman" w:cs="Times New Roman"/>
        </w:rPr>
        <w:t>–</w:t>
      </w:r>
      <w:r w:rsidR="00DE2D05" w:rsidRPr="004E7943">
        <w:rPr>
          <w:rFonts w:ascii="Times New Roman" w:hAnsi="Times New Roman" w:cs="Times New Roman"/>
        </w:rPr>
        <w:t xml:space="preserve"> </w:t>
      </w:r>
      <w:r w:rsidR="00CF2B26">
        <w:rPr>
          <w:rFonts w:ascii="Times New Roman" w:hAnsi="Times New Roman" w:cs="Times New Roman"/>
        </w:rPr>
        <w:t xml:space="preserve">Federal </w:t>
      </w:r>
      <w:r w:rsidR="00374A2D">
        <w:rPr>
          <w:rFonts w:ascii="Times New Roman" w:hAnsi="Times New Roman" w:cs="Times New Roman"/>
        </w:rPr>
        <w:t xml:space="preserve">Assistance </w:t>
      </w:r>
      <w:r w:rsidR="005236C9">
        <w:rPr>
          <w:rFonts w:ascii="Times New Roman" w:hAnsi="Times New Roman" w:cs="Times New Roman"/>
        </w:rPr>
        <w:t>Listing:</w:t>
      </w:r>
      <w:r w:rsidRPr="004E7943">
        <w:rPr>
          <w:rFonts w:ascii="Times New Roman" w:hAnsi="Times New Roman" w:cs="Times New Roman"/>
        </w:rPr>
        <w:t xml:space="preserve"> </w:t>
      </w:r>
      <w:r w:rsidRPr="002832ED">
        <w:rPr>
          <w:rFonts w:ascii="Times New Roman" w:hAnsi="Times New Roman" w:cs="Times New Roman"/>
        </w:rPr>
        <w:t>14.267</w:t>
      </w:r>
    </w:p>
    <w:tbl>
      <w:tblPr>
        <w:tblStyle w:val="TableGrid"/>
        <w:tblW w:w="9805" w:type="dxa"/>
        <w:tblLook w:val="04A0" w:firstRow="1" w:lastRow="0" w:firstColumn="1" w:lastColumn="0" w:noHBand="0" w:noVBand="1"/>
      </w:tblPr>
      <w:tblGrid>
        <w:gridCol w:w="9805"/>
      </w:tblGrid>
      <w:tr w:rsidR="00E23314" w:rsidRPr="000779D5" w14:paraId="68E9D9DA" w14:textId="77777777" w:rsidTr="006C0E96">
        <w:tc>
          <w:tcPr>
            <w:tcW w:w="9805" w:type="dxa"/>
            <w:shd w:val="clear" w:color="auto" w:fill="D9D9D9" w:themeFill="background1" w:themeFillShade="D9"/>
          </w:tcPr>
          <w:p w14:paraId="1DD8D330" w14:textId="7B0D4671" w:rsidR="00B25371" w:rsidRPr="00A6129D" w:rsidRDefault="00E23314" w:rsidP="00E23314">
            <w:pPr>
              <w:rPr>
                <w:rFonts w:ascii="Times New Roman" w:hAnsi="Times New Roman" w:cs="Times New Roman"/>
              </w:rPr>
            </w:pPr>
            <w:r w:rsidRPr="00A6129D">
              <w:rPr>
                <w:rFonts w:ascii="Times New Roman" w:hAnsi="Times New Roman" w:cs="Times New Roman"/>
              </w:rPr>
              <w:t xml:space="preserve">IMPORTANT </w:t>
            </w:r>
            <w:r w:rsidR="0002125E" w:rsidRPr="00A6129D">
              <w:rPr>
                <w:rFonts w:ascii="Times New Roman" w:hAnsi="Times New Roman" w:cs="Times New Roman"/>
              </w:rPr>
              <w:t>APPLICATION DATES &amp; DEADLINES</w:t>
            </w:r>
            <w:r w:rsidR="0059446C" w:rsidRPr="00A6129D">
              <w:rPr>
                <w:rFonts w:ascii="Times New Roman" w:hAnsi="Times New Roman" w:cs="Times New Roman"/>
              </w:rPr>
              <w:t xml:space="preserve"> </w:t>
            </w:r>
            <w:r w:rsidR="00B07E3D" w:rsidRPr="00A6129D">
              <w:rPr>
                <w:rFonts w:ascii="Times New Roman" w:hAnsi="Times New Roman" w:cs="Times New Roman"/>
              </w:rPr>
              <w:t>(</w:t>
            </w:r>
            <w:r w:rsidR="00B07E3D" w:rsidRPr="007465A5">
              <w:rPr>
                <w:rFonts w:ascii="Times New Roman" w:hAnsi="Times New Roman" w:cs="Times New Roman"/>
                <w:b/>
                <w:bCs/>
              </w:rPr>
              <w:t>tentative</w:t>
            </w:r>
            <w:r w:rsidR="006F2265" w:rsidRPr="007465A5">
              <w:rPr>
                <w:rFonts w:ascii="Times New Roman" w:hAnsi="Times New Roman" w:cs="Times New Roman"/>
                <w:b/>
                <w:bCs/>
              </w:rPr>
              <w:t>-</w:t>
            </w:r>
            <w:r w:rsidR="00633948">
              <w:rPr>
                <w:rFonts w:ascii="Times New Roman" w:hAnsi="Times New Roman" w:cs="Times New Roman"/>
              </w:rPr>
              <w:t xml:space="preserve">any changes or </w:t>
            </w:r>
            <w:r w:rsidR="006F2265">
              <w:rPr>
                <w:rFonts w:ascii="Times New Roman" w:hAnsi="Times New Roman" w:cs="Times New Roman"/>
              </w:rPr>
              <w:t xml:space="preserve">updates will be sent </w:t>
            </w:r>
            <w:r w:rsidR="00C37E9D">
              <w:rPr>
                <w:rFonts w:ascii="Times New Roman" w:hAnsi="Times New Roman" w:cs="Times New Roman"/>
              </w:rPr>
              <w:t>via e-mail and posted on the CoC website below</w:t>
            </w:r>
            <w:r w:rsidR="00B07E3D" w:rsidRPr="00A6129D">
              <w:rPr>
                <w:rFonts w:ascii="Times New Roman" w:hAnsi="Times New Roman" w:cs="Times New Roman"/>
              </w:rPr>
              <w:t>)</w:t>
            </w:r>
          </w:p>
          <w:p w14:paraId="222A8E03" w14:textId="2B7D60F0" w:rsidR="00802E52" w:rsidRPr="00A6129D" w:rsidRDefault="00EA4682" w:rsidP="00E23314">
            <w:pPr>
              <w:rPr>
                <w:rFonts w:ascii="Times New Roman" w:hAnsi="Times New Roman" w:cs="Times New Roman"/>
              </w:rPr>
            </w:pPr>
            <w:r w:rsidRPr="00A6129D">
              <w:rPr>
                <w:rFonts w:ascii="Times New Roman" w:hAnsi="Times New Roman" w:cs="Times New Roman"/>
              </w:rPr>
              <w:t xml:space="preserve">Hennepin CoC website: </w:t>
            </w:r>
            <w:r w:rsidR="00B25371" w:rsidRPr="00A6129D">
              <w:rPr>
                <w:rFonts w:ascii="Times New Roman" w:hAnsi="Times New Roman" w:cs="Times New Roman"/>
              </w:rPr>
              <w:t xml:space="preserve"> </w:t>
            </w:r>
            <w:hyperlink r:id="rId8" w:anchor="grants-to-reduce-homelessness" w:history="1">
              <w:r w:rsidR="006960A2" w:rsidRPr="006960A2">
                <w:rPr>
                  <w:color w:val="0000FF"/>
                  <w:u w:val="single"/>
                </w:rPr>
                <w:t>Continuum of Care | Hennepin County</w:t>
              </w:r>
            </w:hyperlink>
          </w:p>
          <w:p w14:paraId="17D1BE8B" w14:textId="50F2DC9E" w:rsidR="00F3410D" w:rsidRPr="008436D9" w:rsidRDefault="004B6D43" w:rsidP="002549E9">
            <w:pPr>
              <w:pStyle w:val="ListParagraph"/>
              <w:numPr>
                <w:ilvl w:val="0"/>
                <w:numId w:val="1"/>
              </w:numPr>
              <w:rPr>
                <w:rFonts w:ascii="Times New Roman" w:hAnsi="Times New Roman" w:cs="Times New Roman"/>
                <w:color w:val="1F497D"/>
              </w:rPr>
            </w:pPr>
            <w:r w:rsidRPr="008436D9">
              <w:rPr>
                <w:rFonts w:ascii="Times New Roman" w:hAnsi="Times New Roman" w:cs="Times New Roman"/>
              </w:rPr>
              <w:t>April 13 – April 28</w:t>
            </w:r>
            <w:r w:rsidRPr="008436D9">
              <w:rPr>
                <w:rFonts w:ascii="Times New Roman" w:hAnsi="Times New Roman" w:cs="Times New Roman"/>
                <w:vertAlign w:val="superscript"/>
              </w:rPr>
              <w:t>th</w:t>
            </w:r>
            <w:r w:rsidRPr="008436D9">
              <w:rPr>
                <w:rFonts w:ascii="Times New Roman" w:hAnsi="Times New Roman" w:cs="Times New Roman"/>
              </w:rPr>
              <w:t xml:space="preserve"> </w:t>
            </w:r>
            <w:r w:rsidR="00453FB8" w:rsidRPr="008436D9">
              <w:rPr>
                <w:rFonts w:ascii="Times New Roman" w:hAnsi="Times New Roman" w:cs="Times New Roman"/>
              </w:rPr>
              <w:t xml:space="preserve">– </w:t>
            </w:r>
            <w:r w:rsidR="00131F7D" w:rsidRPr="008436D9">
              <w:rPr>
                <w:rFonts w:ascii="Times New Roman" w:hAnsi="Times New Roman" w:cs="Times New Roman"/>
              </w:rPr>
              <w:t xml:space="preserve">2026 </w:t>
            </w:r>
            <w:r w:rsidR="00453FB8" w:rsidRPr="008436D9">
              <w:rPr>
                <w:rFonts w:ascii="Times New Roman" w:hAnsi="Times New Roman" w:cs="Times New Roman"/>
              </w:rPr>
              <w:t xml:space="preserve">CoC project score card share, review, &amp; confirm score </w:t>
            </w:r>
          </w:p>
          <w:p w14:paraId="420A5FD3" w14:textId="22EAF29B" w:rsidR="003956F4" w:rsidRPr="008436D9" w:rsidRDefault="004B6D43" w:rsidP="0076511E">
            <w:pPr>
              <w:pStyle w:val="ListParagraph"/>
              <w:numPr>
                <w:ilvl w:val="0"/>
                <w:numId w:val="1"/>
              </w:numPr>
              <w:rPr>
                <w:rFonts w:ascii="Times New Roman" w:hAnsi="Times New Roman" w:cs="Times New Roman"/>
              </w:rPr>
            </w:pPr>
            <w:r w:rsidRPr="008436D9">
              <w:rPr>
                <w:rFonts w:ascii="Times New Roman" w:hAnsi="Times New Roman" w:cs="Times New Roman"/>
              </w:rPr>
              <w:t>May 1</w:t>
            </w:r>
            <w:r w:rsidRPr="008436D9">
              <w:rPr>
                <w:rFonts w:ascii="Times New Roman" w:hAnsi="Times New Roman" w:cs="Times New Roman"/>
                <w:vertAlign w:val="superscript"/>
              </w:rPr>
              <w:t>st</w:t>
            </w:r>
            <w:r w:rsidRPr="008436D9">
              <w:rPr>
                <w:rFonts w:ascii="Times New Roman" w:hAnsi="Times New Roman" w:cs="Times New Roman"/>
              </w:rPr>
              <w:t xml:space="preserve"> – May 8</w:t>
            </w:r>
            <w:r w:rsidRPr="008436D9">
              <w:rPr>
                <w:rFonts w:ascii="Times New Roman" w:hAnsi="Times New Roman" w:cs="Times New Roman"/>
                <w:vertAlign w:val="superscript"/>
              </w:rPr>
              <w:t>th</w:t>
            </w:r>
            <w:r w:rsidRPr="008436D9">
              <w:rPr>
                <w:rFonts w:ascii="Times New Roman" w:hAnsi="Times New Roman" w:cs="Times New Roman"/>
              </w:rPr>
              <w:t xml:space="preserve"> </w:t>
            </w:r>
            <w:r w:rsidR="000D19A0" w:rsidRPr="008436D9">
              <w:rPr>
                <w:rFonts w:ascii="Times New Roman" w:hAnsi="Times New Roman" w:cs="Times New Roman"/>
              </w:rPr>
              <w:t>–</w:t>
            </w:r>
            <w:r w:rsidR="003956F4" w:rsidRPr="008436D9">
              <w:rPr>
                <w:rFonts w:ascii="Times New Roman" w:hAnsi="Times New Roman" w:cs="Times New Roman"/>
              </w:rPr>
              <w:t xml:space="preserve"> </w:t>
            </w:r>
            <w:r w:rsidR="002747BB" w:rsidRPr="008436D9">
              <w:rPr>
                <w:rFonts w:ascii="Times New Roman" w:hAnsi="Times New Roman" w:cs="Times New Roman"/>
              </w:rPr>
              <w:t xml:space="preserve">2026 </w:t>
            </w:r>
            <w:r w:rsidR="003956F4" w:rsidRPr="008436D9">
              <w:rPr>
                <w:rFonts w:ascii="Times New Roman" w:hAnsi="Times New Roman" w:cs="Times New Roman"/>
              </w:rPr>
              <w:t>Final approval &amp; comments on score card in preparation for ranking</w:t>
            </w:r>
          </w:p>
          <w:p w14:paraId="3E977AEE" w14:textId="77777777" w:rsidR="002D47C6" w:rsidRPr="002D47C6" w:rsidRDefault="004E3EA8" w:rsidP="00CD1546">
            <w:pPr>
              <w:pStyle w:val="ListParagraph"/>
              <w:numPr>
                <w:ilvl w:val="0"/>
                <w:numId w:val="1"/>
              </w:numPr>
              <w:rPr>
                <w:rFonts w:ascii="Times New Roman" w:hAnsi="Times New Roman" w:cs="Times New Roman"/>
                <w:color w:val="242424"/>
              </w:rPr>
            </w:pPr>
            <w:r w:rsidRPr="009E1C09">
              <w:rPr>
                <w:rFonts w:ascii="Times New Roman" w:hAnsi="Times New Roman" w:cs="Times New Roman"/>
              </w:rPr>
              <w:t>June 1</w:t>
            </w:r>
            <w:r w:rsidR="008D190A" w:rsidRPr="009E1C09">
              <w:rPr>
                <w:rFonts w:ascii="Times New Roman" w:hAnsi="Times New Roman" w:cs="Times New Roman"/>
              </w:rPr>
              <w:t>5</w:t>
            </w:r>
            <w:r w:rsidRPr="009E1C09">
              <w:rPr>
                <w:rFonts w:ascii="Times New Roman" w:hAnsi="Times New Roman" w:cs="Times New Roman"/>
                <w:vertAlign w:val="superscript"/>
              </w:rPr>
              <w:t>th</w:t>
            </w:r>
            <w:r w:rsidRPr="008436D9">
              <w:rPr>
                <w:rFonts w:ascii="Times New Roman" w:hAnsi="Times New Roman" w:cs="Times New Roman"/>
                <w:b/>
                <w:bCs/>
              </w:rPr>
              <w:t xml:space="preserve"> - </w:t>
            </w:r>
            <w:r w:rsidR="00CD1546" w:rsidRPr="009E1C09">
              <w:rPr>
                <w:rFonts w:ascii="Times New Roman" w:hAnsi="Times New Roman" w:cs="Times New Roman"/>
              </w:rPr>
              <w:t xml:space="preserve">Hennepin CoC FY2026 NOFO Overview </w:t>
            </w:r>
            <w:r w:rsidR="002747BB" w:rsidRPr="009E1C09">
              <w:rPr>
                <w:rFonts w:ascii="Times New Roman" w:hAnsi="Times New Roman" w:cs="Times New Roman"/>
              </w:rPr>
              <w:t xml:space="preserve">&amp; timeline </w:t>
            </w:r>
            <w:r w:rsidR="00CD1546" w:rsidRPr="009E1C09">
              <w:rPr>
                <w:rFonts w:ascii="Times New Roman" w:hAnsi="Times New Roman" w:cs="Times New Roman"/>
              </w:rPr>
              <w:t>meeting</w:t>
            </w:r>
            <w:r w:rsidR="00CD1546" w:rsidRPr="008436D9">
              <w:rPr>
                <w:rFonts w:ascii="Times New Roman" w:hAnsi="Times New Roman" w:cs="Times New Roman"/>
                <w:b/>
                <w:bCs/>
              </w:rPr>
              <w:t xml:space="preserve"> – </w:t>
            </w:r>
            <w:r w:rsidR="00CD1546" w:rsidRPr="009E1C09">
              <w:rPr>
                <w:rFonts w:ascii="Times New Roman" w:hAnsi="Times New Roman" w:cs="Times New Roman"/>
              </w:rPr>
              <w:t>1:00-</w:t>
            </w:r>
            <w:r w:rsidR="002D47C6" w:rsidRPr="009E1C09">
              <w:rPr>
                <w:rFonts w:ascii="Times New Roman" w:hAnsi="Times New Roman" w:cs="Times New Roman"/>
              </w:rPr>
              <w:t>3</w:t>
            </w:r>
            <w:r w:rsidR="00351FE3" w:rsidRPr="009E1C09">
              <w:rPr>
                <w:rFonts w:ascii="Times New Roman" w:hAnsi="Times New Roman" w:cs="Times New Roman"/>
              </w:rPr>
              <w:t xml:space="preserve"> (</w:t>
            </w:r>
            <w:r w:rsidR="002D47C6" w:rsidRPr="009E1C09">
              <w:rPr>
                <w:rFonts w:ascii="Times New Roman" w:hAnsi="Times New Roman" w:cs="Times New Roman"/>
              </w:rPr>
              <w:t>Teams)</w:t>
            </w:r>
            <w:r w:rsidR="00D0110E" w:rsidRPr="008436D9">
              <w:rPr>
                <w:rFonts w:ascii="Times New Roman" w:hAnsi="Times New Roman" w:cs="Times New Roman"/>
              </w:rPr>
              <w:t xml:space="preserve"> </w:t>
            </w:r>
          </w:p>
          <w:p w14:paraId="4ADD97E4" w14:textId="00037D0B" w:rsidR="00CD1546" w:rsidRPr="005731C8" w:rsidRDefault="00DE3CFC" w:rsidP="005731C8">
            <w:pPr>
              <w:rPr>
                <w:rFonts w:ascii="Times New Roman" w:hAnsi="Times New Roman" w:cs="Times New Roman"/>
                <w:color w:val="242424"/>
              </w:rPr>
            </w:pPr>
            <w:r w:rsidRPr="009E1C09">
              <w:rPr>
                <w:rStyle w:val="me-email-text"/>
                <w:rFonts w:ascii="Times New Roman" w:hAnsi="Times New Roman" w:cs="Times New Roman"/>
                <w:color w:val="242424"/>
              </w:rPr>
              <w:t xml:space="preserve"> </w:t>
            </w:r>
            <w:r w:rsidRPr="009E1C09">
              <w:rPr>
                <w:rStyle w:val="me-email-text"/>
                <w:color w:val="242424"/>
              </w:rPr>
              <w:t xml:space="preserve">            </w:t>
            </w:r>
            <w:r w:rsidR="005731C8" w:rsidRPr="009E1C09">
              <w:rPr>
                <w:rStyle w:val="me-email-text"/>
                <w:rFonts w:ascii="Times New Roman" w:hAnsi="Times New Roman" w:cs="Times New Roman"/>
                <w:color w:val="242424"/>
              </w:rPr>
              <w:t>Join</w:t>
            </w:r>
            <w:r w:rsidR="005731C8" w:rsidRPr="00144FB5">
              <w:rPr>
                <w:rStyle w:val="me-email-text"/>
                <w:rFonts w:ascii="Times New Roman" w:hAnsi="Times New Roman" w:cs="Times New Roman"/>
                <w:b/>
                <w:bCs/>
                <w:color w:val="242424"/>
              </w:rPr>
              <w:t xml:space="preserve">: </w:t>
            </w:r>
            <w:hyperlink r:id="rId9" w:tooltip="Meeting join" w:history="1">
              <w:r w:rsidR="005731C8" w:rsidRPr="00144FB5">
                <w:rPr>
                  <w:rStyle w:val="Hyperlink"/>
                  <w:rFonts w:ascii="Times New Roman" w:hAnsi="Times New Roman" w:cs="Times New Roman"/>
                  <w:color w:val="5B5FC7"/>
                </w:rPr>
                <w:t>https://teams.microsoft.com/meet/255294170193035?p=tTkB73utgYBWZlogI4</w:t>
              </w:r>
            </w:hyperlink>
            <w:r w:rsidR="005731C8" w:rsidRPr="00144FB5">
              <w:rPr>
                <w:rFonts w:ascii="Times New Roman" w:hAnsi="Times New Roman" w:cs="Times New Roman"/>
                <w:color w:val="242424"/>
              </w:rPr>
              <w:t xml:space="preserve"> </w:t>
            </w:r>
            <w:r w:rsidR="00D0110E" w:rsidRPr="00144FB5">
              <w:rPr>
                <w:rFonts w:ascii="Times New Roman" w:hAnsi="Times New Roman" w:cs="Times New Roman"/>
              </w:rPr>
              <w:t xml:space="preserve">                                                                   </w:t>
            </w:r>
          </w:p>
          <w:p w14:paraId="62CAE531" w14:textId="77AB9DF5" w:rsidR="00CD1546" w:rsidRPr="008436D9" w:rsidRDefault="00071CFA" w:rsidP="0076511E">
            <w:pPr>
              <w:pStyle w:val="ListParagraph"/>
              <w:numPr>
                <w:ilvl w:val="0"/>
                <w:numId w:val="1"/>
              </w:numPr>
              <w:rPr>
                <w:rFonts w:ascii="Times New Roman" w:hAnsi="Times New Roman" w:cs="Times New Roman"/>
              </w:rPr>
            </w:pPr>
            <w:r w:rsidRPr="008436D9">
              <w:rPr>
                <w:rFonts w:ascii="Times New Roman" w:hAnsi="Times New Roman" w:cs="Times New Roman"/>
              </w:rPr>
              <w:t>June 19</w:t>
            </w:r>
            <w:proofErr w:type="gramStart"/>
            <w:r w:rsidRPr="008436D9">
              <w:rPr>
                <w:rFonts w:ascii="Times New Roman" w:hAnsi="Times New Roman" w:cs="Times New Roman"/>
                <w:vertAlign w:val="superscript"/>
              </w:rPr>
              <w:t>th</w:t>
            </w:r>
            <w:r w:rsidRPr="008436D9">
              <w:rPr>
                <w:rFonts w:ascii="Times New Roman" w:hAnsi="Times New Roman" w:cs="Times New Roman"/>
              </w:rPr>
              <w:t xml:space="preserve">  </w:t>
            </w:r>
            <w:r w:rsidR="00CD1546" w:rsidRPr="008436D9">
              <w:rPr>
                <w:rFonts w:ascii="Times New Roman" w:hAnsi="Times New Roman" w:cs="Times New Roman"/>
              </w:rPr>
              <w:t>–</w:t>
            </w:r>
            <w:proofErr w:type="gramEnd"/>
            <w:r w:rsidR="00CD1546" w:rsidRPr="008436D9">
              <w:rPr>
                <w:rFonts w:ascii="Times New Roman" w:hAnsi="Times New Roman" w:cs="Times New Roman"/>
              </w:rPr>
              <w:t xml:space="preserve"> Letter of Intent to Apply</w:t>
            </w:r>
            <w:r w:rsidRPr="008436D9">
              <w:rPr>
                <w:rFonts w:ascii="Times New Roman" w:hAnsi="Times New Roman" w:cs="Times New Roman"/>
              </w:rPr>
              <w:t xml:space="preserve"> </w:t>
            </w:r>
            <w:r w:rsidR="009B4F0B" w:rsidRPr="008436D9">
              <w:rPr>
                <w:rFonts w:ascii="Times New Roman" w:hAnsi="Times New Roman" w:cs="Times New Roman"/>
              </w:rPr>
              <w:t>released</w:t>
            </w:r>
            <w:r w:rsidR="0068713F" w:rsidRPr="008436D9">
              <w:rPr>
                <w:rFonts w:ascii="Times New Roman" w:hAnsi="Times New Roman" w:cs="Times New Roman"/>
              </w:rPr>
              <w:t xml:space="preserve"> for all Renewal projects</w:t>
            </w:r>
          </w:p>
          <w:p w14:paraId="64AAE351" w14:textId="41584D2F" w:rsidR="0068713F" w:rsidRPr="008436D9" w:rsidRDefault="0068713F" w:rsidP="0076511E">
            <w:pPr>
              <w:pStyle w:val="ListParagraph"/>
              <w:numPr>
                <w:ilvl w:val="0"/>
                <w:numId w:val="1"/>
              </w:numPr>
              <w:rPr>
                <w:rFonts w:ascii="Times New Roman" w:hAnsi="Times New Roman" w:cs="Times New Roman"/>
                <w:b/>
                <w:bCs/>
              </w:rPr>
            </w:pPr>
            <w:r w:rsidRPr="009E1C09">
              <w:rPr>
                <w:rFonts w:ascii="Times New Roman" w:hAnsi="Times New Roman" w:cs="Times New Roman"/>
              </w:rPr>
              <w:t>June 26</w:t>
            </w:r>
            <w:r w:rsidRPr="009E1C09">
              <w:rPr>
                <w:rFonts w:ascii="Times New Roman" w:hAnsi="Times New Roman" w:cs="Times New Roman"/>
                <w:vertAlign w:val="superscript"/>
              </w:rPr>
              <w:t>th</w:t>
            </w:r>
            <w:r w:rsidRPr="008436D9">
              <w:rPr>
                <w:rFonts w:ascii="Times New Roman" w:hAnsi="Times New Roman" w:cs="Times New Roman"/>
                <w:b/>
                <w:bCs/>
              </w:rPr>
              <w:t xml:space="preserve"> – </w:t>
            </w:r>
            <w:r w:rsidRPr="005106A9">
              <w:rPr>
                <w:rFonts w:ascii="Times New Roman" w:hAnsi="Times New Roman" w:cs="Times New Roman"/>
              </w:rPr>
              <w:t>Letter of Intent to Apply due date for all Renewal Projects</w:t>
            </w:r>
          </w:p>
          <w:p w14:paraId="48AB6AD2" w14:textId="574E9FB6" w:rsidR="0093756B" w:rsidRPr="008436D9" w:rsidRDefault="00DA79F7" w:rsidP="0076511E">
            <w:pPr>
              <w:pStyle w:val="ListParagraph"/>
              <w:numPr>
                <w:ilvl w:val="0"/>
                <w:numId w:val="1"/>
              </w:numPr>
              <w:rPr>
                <w:rFonts w:ascii="Times New Roman" w:hAnsi="Times New Roman" w:cs="Times New Roman"/>
              </w:rPr>
            </w:pPr>
            <w:r w:rsidRPr="008436D9">
              <w:rPr>
                <w:rFonts w:ascii="Times New Roman" w:hAnsi="Times New Roman" w:cs="Times New Roman"/>
              </w:rPr>
              <w:t>June 22</w:t>
            </w:r>
            <w:r w:rsidRPr="008436D9">
              <w:rPr>
                <w:rFonts w:ascii="Times New Roman" w:hAnsi="Times New Roman" w:cs="Times New Roman"/>
                <w:vertAlign w:val="superscript"/>
              </w:rPr>
              <w:t>nd</w:t>
            </w:r>
            <w:r w:rsidRPr="008436D9">
              <w:rPr>
                <w:rFonts w:ascii="Times New Roman" w:hAnsi="Times New Roman" w:cs="Times New Roman"/>
              </w:rPr>
              <w:t xml:space="preserve"> – New project and DV Bonus projects pre-applications </w:t>
            </w:r>
            <w:r w:rsidR="00CD1546" w:rsidRPr="008436D9">
              <w:rPr>
                <w:rFonts w:ascii="Times New Roman" w:hAnsi="Times New Roman" w:cs="Times New Roman"/>
              </w:rPr>
              <w:t>released</w:t>
            </w:r>
          </w:p>
          <w:p w14:paraId="21173DB8" w14:textId="716D71A0" w:rsidR="00DC0BB8" w:rsidRPr="008436D9" w:rsidRDefault="00CD1546" w:rsidP="00AD5ACB">
            <w:pPr>
              <w:pStyle w:val="ListParagraph"/>
              <w:numPr>
                <w:ilvl w:val="0"/>
                <w:numId w:val="1"/>
              </w:numPr>
              <w:rPr>
                <w:rFonts w:ascii="Times New Roman" w:hAnsi="Times New Roman" w:cs="Times New Roman"/>
                <w:b/>
                <w:bCs/>
              </w:rPr>
            </w:pPr>
            <w:r w:rsidRPr="009E1C09">
              <w:rPr>
                <w:rFonts w:ascii="Times New Roman" w:hAnsi="Times New Roman" w:cs="Times New Roman"/>
              </w:rPr>
              <w:t xml:space="preserve">July </w:t>
            </w:r>
            <w:r w:rsidR="00DE3CFC" w:rsidRPr="009E1C09">
              <w:rPr>
                <w:rFonts w:ascii="Times New Roman" w:hAnsi="Times New Roman" w:cs="Times New Roman"/>
              </w:rPr>
              <w:t>1st</w:t>
            </w:r>
            <w:r w:rsidRPr="008436D9">
              <w:rPr>
                <w:rFonts w:ascii="Times New Roman" w:hAnsi="Times New Roman" w:cs="Times New Roman"/>
                <w:b/>
                <w:bCs/>
              </w:rPr>
              <w:t xml:space="preserve"> </w:t>
            </w:r>
            <w:r w:rsidR="0029572C" w:rsidRPr="008436D9">
              <w:rPr>
                <w:rFonts w:ascii="Times New Roman" w:hAnsi="Times New Roman" w:cs="Times New Roman"/>
                <w:b/>
                <w:bCs/>
              </w:rPr>
              <w:t xml:space="preserve">– </w:t>
            </w:r>
            <w:r w:rsidR="0029572C" w:rsidRPr="005106A9">
              <w:rPr>
                <w:rFonts w:ascii="Times New Roman" w:hAnsi="Times New Roman" w:cs="Times New Roman"/>
              </w:rPr>
              <w:t>New project pre-applications/DV Bonus due date</w:t>
            </w:r>
            <w:r w:rsidR="0068713F" w:rsidRPr="008436D9">
              <w:rPr>
                <w:rFonts w:ascii="Times New Roman" w:hAnsi="Times New Roman" w:cs="Times New Roman"/>
                <w:b/>
                <w:bCs/>
              </w:rPr>
              <w:t xml:space="preserve"> </w:t>
            </w:r>
          </w:p>
          <w:p w14:paraId="4EE636C5" w14:textId="7E5DB42B" w:rsidR="009D16E2" w:rsidRPr="008436D9" w:rsidRDefault="005106A9" w:rsidP="004D3A59">
            <w:pPr>
              <w:pStyle w:val="ListParagraph"/>
              <w:numPr>
                <w:ilvl w:val="0"/>
                <w:numId w:val="1"/>
              </w:numPr>
              <w:rPr>
                <w:rFonts w:ascii="Times New Roman" w:hAnsi="Times New Roman" w:cs="Times New Roman"/>
              </w:rPr>
            </w:pPr>
            <w:r>
              <w:rPr>
                <w:rFonts w:ascii="Times New Roman" w:hAnsi="Times New Roman" w:cs="Times New Roman"/>
                <w:b/>
                <w:bCs/>
              </w:rPr>
              <w:t>July 16th</w:t>
            </w:r>
            <w:r w:rsidR="00100F4B" w:rsidRPr="008436D9">
              <w:rPr>
                <w:rFonts w:ascii="Times New Roman" w:hAnsi="Times New Roman" w:cs="Times New Roman"/>
                <w:b/>
                <w:bCs/>
              </w:rPr>
              <w:t>–</w:t>
            </w:r>
            <w:r w:rsidR="00504BA9">
              <w:rPr>
                <w:rFonts w:ascii="Times New Roman" w:hAnsi="Times New Roman" w:cs="Times New Roman"/>
                <w:b/>
                <w:bCs/>
              </w:rPr>
              <w:t xml:space="preserve"> </w:t>
            </w:r>
            <w:r w:rsidR="00FB591B" w:rsidRPr="008436D9">
              <w:rPr>
                <w:rFonts w:ascii="Times New Roman" w:hAnsi="Times New Roman" w:cs="Times New Roman"/>
              </w:rPr>
              <w:t xml:space="preserve">Project Applications </w:t>
            </w:r>
            <w:r w:rsidR="009A5CE2" w:rsidRPr="008436D9">
              <w:rPr>
                <w:rFonts w:ascii="Times New Roman" w:hAnsi="Times New Roman" w:cs="Times New Roman"/>
              </w:rPr>
              <w:t xml:space="preserve">(new/renewal) </w:t>
            </w:r>
            <w:r w:rsidR="00FB591B" w:rsidRPr="008436D9">
              <w:rPr>
                <w:rFonts w:ascii="Times New Roman" w:hAnsi="Times New Roman" w:cs="Times New Roman"/>
              </w:rPr>
              <w:t xml:space="preserve">notified of </w:t>
            </w:r>
            <w:r w:rsidR="00504BA9">
              <w:rPr>
                <w:rFonts w:ascii="Times New Roman" w:hAnsi="Times New Roman" w:cs="Times New Roman"/>
              </w:rPr>
              <w:t>inclusion or not</w:t>
            </w:r>
            <w:r w:rsidR="00FB591B" w:rsidRPr="008436D9">
              <w:rPr>
                <w:rFonts w:ascii="Times New Roman" w:hAnsi="Times New Roman" w:cs="Times New Roman"/>
              </w:rPr>
              <w:t xml:space="preserve"> </w:t>
            </w:r>
            <w:r w:rsidR="001802C9" w:rsidRPr="008436D9">
              <w:rPr>
                <w:rFonts w:ascii="Times New Roman" w:hAnsi="Times New Roman" w:cs="Times New Roman"/>
              </w:rPr>
              <w:t>– START COMPLETING THE PROJECT APPLICATION IN ESNAP</w:t>
            </w:r>
            <w:r w:rsidR="004E3EA8" w:rsidRPr="008436D9">
              <w:rPr>
                <w:rFonts w:ascii="Times New Roman" w:hAnsi="Times New Roman" w:cs="Times New Roman"/>
              </w:rPr>
              <w:t>S</w:t>
            </w:r>
            <w:r>
              <w:rPr>
                <w:rFonts w:ascii="Times New Roman" w:hAnsi="Times New Roman" w:cs="Times New Roman"/>
              </w:rPr>
              <w:t xml:space="preserve"> (when open)</w:t>
            </w:r>
          </w:p>
          <w:p w14:paraId="724B5419" w14:textId="779B9747" w:rsidR="009D16E2" w:rsidRPr="005106A9" w:rsidRDefault="003021E5" w:rsidP="009D16E2">
            <w:pPr>
              <w:pStyle w:val="ListParagraph"/>
              <w:numPr>
                <w:ilvl w:val="0"/>
                <w:numId w:val="1"/>
              </w:numPr>
              <w:rPr>
                <w:rFonts w:ascii="Times New Roman" w:hAnsi="Times New Roman" w:cs="Times New Roman"/>
                <w:b/>
                <w:bCs/>
              </w:rPr>
            </w:pPr>
            <w:r w:rsidRPr="005106A9">
              <w:rPr>
                <w:rFonts w:ascii="Times New Roman" w:hAnsi="Times New Roman" w:cs="Times New Roman"/>
                <w:b/>
                <w:bCs/>
              </w:rPr>
              <w:t>July 16</w:t>
            </w:r>
            <w:r w:rsidRPr="005106A9">
              <w:rPr>
                <w:rFonts w:ascii="Times New Roman" w:hAnsi="Times New Roman" w:cs="Times New Roman"/>
                <w:b/>
                <w:bCs/>
                <w:vertAlign w:val="superscript"/>
              </w:rPr>
              <w:t>th</w:t>
            </w:r>
            <w:r w:rsidRPr="005106A9">
              <w:rPr>
                <w:rFonts w:ascii="Times New Roman" w:hAnsi="Times New Roman" w:cs="Times New Roman"/>
                <w:b/>
                <w:bCs/>
              </w:rPr>
              <w:t xml:space="preserve"> </w:t>
            </w:r>
            <w:r w:rsidR="004D3A59" w:rsidRPr="005106A9">
              <w:rPr>
                <w:rFonts w:ascii="Times New Roman" w:hAnsi="Times New Roman" w:cs="Times New Roman"/>
                <w:b/>
                <w:bCs/>
              </w:rPr>
              <w:t>- preliminary Priority List released (ranked projects)</w:t>
            </w:r>
          </w:p>
          <w:p w14:paraId="27AFAD69" w14:textId="196CAA72" w:rsidR="007923FA" w:rsidRPr="008436D9" w:rsidRDefault="003021E5" w:rsidP="00FB591B">
            <w:pPr>
              <w:pStyle w:val="ListParagraph"/>
              <w:numPr>
                <w:ilvl w:val="0"/>
                <w:numId w:val="1"/>
              </w:numPr>
              <w:rPr>
                <w:rFonts w:ascii="Times New Roman" w:hAnsi="Times New Roman" w:cs="Times New Roman"/>
              </w:rPr>
            </w:pPr>
            <w:r w:rsidRPr="008436D9">
              <w:rPr>
                <w:rFonts w:ascii="Times New Roman" w:hAnsi="Times New Roman" w:cs="Times New Roman"/>
              </w:rPr>
              <w:t>July 22</w:t>
            </w:r>
            <w:r w:rsidRPr="008436D9">
              <w:rPr>
                <w:rFonts w:ascii="Times New Roman" w:hAnsi="Times New Roman" w:cs="Times New Roman"/>
                <w:vertAlign w:val="superscript"/>
              </w:rPr>
              <w:t>nd</w:t>
            </w:r>
            <w:r w:rsidRPr="008436D9">
              <w:rPr>
                <w:rFonts w:ascii="Times New Roman" w:hAnsi="Times New Roman" w:cs="Times New Roman"/>
              </w:rPr>
              <w:t xml:space="preserve"> -</w:t>
            </w:r>
            <w:r w:rsidR="00C93945" w:rsidRPr="008436D9">
              <w:rPr>
                <w:rFonts w:ascii="Times New Roman" w:hAnsi="Times New Roman" w:cs="Times New Roman"/>
              </w:rPr>
              <w:t xml:space="preserve"> Due date for</w:t>
            </w:r>
            <w:r w:rsidR="00373B25" w:rsidRPr="008436D9">
              <w:rPr>
                <w:rFonts w:ascii="Times New Roman" w:hAnsi="Times New Roman" w:cs="Times New Roman"/>
              </w:rPr>
              <w:t xml:space="preserve"> ranking appeals to CoC Coordinator </w:t>
            </w:r>
            <w:r w:rsidR="009B6146" w:rsidRPr="008436D9">
              <w:rPr>
                <w:rFonts w:ascii="Times New Roman" w:hAnsi="Times New Roman" w:cs="Times New Roman"/>
              </w:rPr>
              <w:t>(see 202</w:t>
            </w:r>
            <w:r w:rsidR="00433E74" w:rsidRPr="008436D9">
              <w:rPr>
                <w:rFonts w:ascii="Times New Roman" w:hAnsi="Times New Roman" w:cs="Times New Roman"/>
              </w:rPr>
              <w:t>6</w:t>
            </w:r>
            <w:r w:rsidR="009B6146" w:rsidRPr="008436D9">
              <w:rPr>
                <w:rFonts w:ascii="Times New Roman" w:hAnsi="Times New Roman" w:cs="Times New Roman"/>
              </w:rPr>
              <w:t xml:space="preserve"> Ranking Policies/Procedures posted on CoC website for instructions</w:t>
            </w:r>
            <w:r w:rsidR="00F0078F" w:rsidRPr="008436D9">
              <w:rPr>
                <w:rFonts w:ascii="Times New Roman" w:hAnsi="Times New Roman" w:cs="Times New Roman"/>
              </w:rPr>
              <w:t>)</w:t>
            </w:r>
          </w:p>
          <w:p w14:paraId="025A47B3" w14:textId="298D2DAF" w:rsidR="00AA4CEF" w:rsidRPr="008436D9" w:rsidRDefault="006D6159" w:rsidP="00FB591B">
            <w:pPr>
              <w:pStyle w:val="ListParagraph"/>
              <w:numPr>
                <w:ilvl w:val="0"/>
                <w:numId w:val="1"/>
              </w:numPr>
              <w:rPr>
                <w:rFonts w:ascii="Times New Roman" w:hAnsi="Times New Roman" w:cs="Times New Roman"/>
                <w:b/>
                <w:bCs/>
              </w:rPr>
            </w:pPr>
            <w:proofErr w:type="spellStart"/>
            <w:r>
              <w:rPr>
                <w:rFonts w:ascii="Times New Roman" w:hAnsi="Times New Roman" w:cs="Times New Roman"/>
                <w:b/>
                <w:bCs/>
              </w:rPr>
              <w:t>tbd</w:t>
            </w:r>
            <w:proofErr w:type="spellEnd"/>
            <w:r w:rsidR="007923FA" w:rsidRPr="008436D9">
              <w:rPr>
                <w:rFonts w:ascii="Times New Roman" w:hAnsi="Times New Roman" w:cs="Times New Roman"/>
                <w:b/>
                <w:bCs/>
              </w:rPr>
              <w:t>– Send draft Project Applications</w:t>
            </w:r>
            <w:r w:rsidR="001E0D8F" w:rsidRPr="008436D9">
              <w:rPr>
                <w:rFonts w:ascii="Times New Roman" w:hAnsi="Times New Roman" w:cs="Times New Roman"/>
                <w:b/>
                <w:bCs/>
              </w:rPr>
              <w:t xml:space="preserve"> when complete</w:t>
            </w:r>
            <w:r w:rsidR="00080F31" w:rsidRPr="008436D9">
              <w:rPr>
                <w:rFonts w:ascii="Times New Roman" w:hAnsi="Times New Roman" w:cs="Times New Roman"/>
                <w:b/>
                <w:bCs/>
              </w:rPr>
              <w:t xml:space="preserve"> </w:t>
            </w:r>
            <w:r w:rsidR="00080F31" w:rsidRPr="008436D9">
              <w:rPr>
                <w:rFonts w:ascii="Times New Roman" w:hAnsi="Times New Roman" w:cs="Times New Roman"/>
                <w:b/>
                <w:bCs/>
                <w:u w:val="single"/>
              </w:rPr>
              <w:t xml:space="preserve">on or before </w:t>
            </w:r>
            <w:r w:rsidR="007923FA" w:rsidRPr="008436D9">
              <w:rPr>
                <w:rFonts w:ascii="Times New Roman" w:hAnsi="Times New Roman" w:cs="Times New Roman"/>
                <w:b/>
                <w:bCs/>
              </w:rPr>
              <w:t xml:space="preserve">to </w:t>
            </w:r>
            <w:r w:rsidR="00674252" w:rsidRPr="008436D9">
              <w:rPr>
                <w:rFonts w:ascii="Times New Roman" w:hAnsi="Times New Roman" w:cs="Times New Roman"/>
                <w:b/>
                <w:bCs/>
              </w:rPr>
              <w:t>Coordinator</w:t>
            </w:r>
            <w:r w:rsidR="007923FA" w:rsidRPr="008436D9">
              <w:rPr>
                <w:rFonts w:ascii="Times New Roman" w:hAnsi="Times New Roman" w:cs="Times New Roman"/>
                <w:b/>
                <w:bCs/>
              </w:rPr>
              <w:t xml:space="preserve"> for review prior to submission</w:t>
            </w:r>
            <w:r w:rsidR="00637A31" w:rsidRPr="008436D9">
              <w:rPr>
                <w:rFonts w:ascii="Times New Roman" w:hAnsi="Times New Roman" w:cs="Times New Roman"/>
                <w:b/>
                <w:bCs/>
              </w:rPr>
              <w:t xml:space="preserve"> (do not submit in </w:t>
            </w:r>
            <w:proofErr w:type="spellStart"/>
            <w:r w:rsidR="00637A31" w:rsidRPr="008436D9">
              <w:rPr>
                <w:rFonts w:ascii="Times New Roman" w:hAnsi="Times New Roman" w:cs="Times New Roman"/>
                <w:b/>
                <w:bCs/>
              </w:rPr>
              <w:t>e</w:t>
            </w:r>
            <w:r w:rsidR="00A021E1" w:rsidRPr="008436D9">
              <w:rPr>
                <w:rFonts w:ascii="Times New Roman" w:hAnsi="Times New Roman" w:cs="Times New Roman"/>
                <w:b/>
                <w:bCs/>
              </w:rPr>
              <w:t>S</w:t>
            </w:r>
            <w:r w:rsidR="00637A31" w:rsidRPr="008436D9">
              <w:rPr>
                <w:rFonts w:ascii="Times New Roman" w:hAnsi="Times New Roman" w:cs="Times New Roman"/>
                <w:b/>
                <w:bCs/>
              </w:rPr>
              <w:t>naps</w:t>
            </w:r>
            <w:proofErr w:type="spellEnd"/>
            <w:r w:rsidR="00637A31" w:rsidRPr="008436D9">
              <w:rPr>
                <w:rFonts w:ascii="Times New Roman" w:hAnsi="Times New Roman" w:cs="Times New Roman"/>
                <w:b/>
                <w:bCs/>
              </w:rPr>
              <w:t xml:space="preserve"> yet)</w:t>
            </w:r>
            <w:r w:rsidR="004609B3" w:rsidRPr="008436D9">
              <w:rPr>
                <w:rFonts w:ascii="Times New Roman" w:hAnsi="Times New Roman" w:cs="Times New Roman"/>
                <w:b/>
                <w:bCs/>
              </w:rPr>
              <w:t xml:space="preserve"> will send feedback </w:t>
            </w:r>
            <w:r w:rsidR="008920A1" w:rsidRPr="008436D9">
              <w:rPr>
                <w:rFonts w:ascii="Times New Roman" w:hAnsi="Times New Roman" w:cs="Times New Roman"/>
                <w:b/>
                <w:bCs/>
              </w:rPr>
              <w:t>if needed</w:t>
            </w:r>
          </w:p>
          <w:p w14:paraId="4884288D" w14:textId="12B9F01B" w:rsidR="00D15E28" w:rsidRPr="008436D9" w:rsidRDefault="006D6159" w:rsidP="00953098">
            <w:pPr>
              <w:pStyle w:val="ListParagraph"/>
              <w:numPr>
                <w:ilvl w:val="0"/>
                <w:numId w:val="1"/>
              </w:numPr>
              <w:rPr>
                <w:rFonts w:ascii="Times New Roman" w:hAnsi="Times New Roman" w:cs="Times New Roman"/>
              </w:rPr>
            </w:pPr>
            <w:proofErr w:type="spellStart"/>
            <w:r>
              <w:rPr>
                <w:rFonts w:ascii="Times New Roman" w:hAnsi="Times New Roman" w:cs="Times New Roman"/>
              </w:rPr>
              <w:t>tbd</w:t>
            </w:r>
            <w:proofErr w:type="spellEnd"/>
            <w:r w:rsidR="004578A8" w:rsidRPr="008436D9">
              <w:rPr>
                <w:rFonts w:ascii="Times New Roman" w:hAnsi="Times New Roman" w:cs="Times New Roman"/>
              </w:rPr>
              <w:t xml:space="preserve"> </w:t>
            </w:r>
            <w:r w:rsidR="0041515D" w:rsidRPr="008436D9">
              <w:rPr>
                <w:rFonts w:ascii="Times New Roman" w:hAnsi="Times New Roman" w:cs="Times New Roman"/>
              </w:rPr>
              <w:t xml:space="preserve">- </w:t>
            </w:r>
            <w:r w:rsidR="00D15E28" w:rsidRPr="008436D9">
              <w:rPr>
                <w:rFonts w:ascii="Times New Roman" w:hAnsi="Times New Roman" w:cs="Times New Roman"/>
              </w:rPr>
              <w:t xml:space="preserve">DUE </w:t>
            </w:r>
            <w:r w:rsidR="00D15E28" w:rsidRPr="008436D9">
              <w:rPr>
                <w:rFonts w:ascii="Times New Roman" w:hAnsi="Times New Roman" w:cs="Times New Roman"/>
                <w:b/>
              </w:rPr>
              <w:t xml:space="preserve">Project Applications </w:t>
            </w:r>
            <w:r w:rsidR="007A30DD" w:rsidRPr="008436D9">
              <w:rPr>
                <w:rFonts w:ascii="Times New Roman" w:hAnsi="Times New Roman" w:cs="Times New Roman"/>
                <w:b/>
              </w:rPr>
              <w:t>(</w:t>
            </w:r>
            <w:r w:rsidR="00D15E28" w:rsidRPr="008436D9">
              <w:rPr>
                <w:rFonts w:ascii="Times New Roman" w:hAnsi="Times New Roman" w:cs="Times New Roman"/>
                <w:b/>
                <w:bCs/>
              </w:rPr>
              <w:t>Renewal</w:t>
            </w:r>
            <w:r w:rsidR="00D15E28" w:rsidRPr="008436D9">
              <w:rPr>
                <w:rFonts w:ascii="Times New Roman" w:hAnsi="Times New Roman" w:cs="Times New Roman"/>
              </w:rPr>
              <w:t>)</w:t>
            </w:r>
            <w:r w:rsidR="00D15E28" w:rsidRPr="008436D9">
              <w:rPr>
                <w:rFonts w:ascii="Times New Roman" w:hAnsi="Times New Roman" w:cs="Times New Roman"/>
                <w:b/>
              </w:rPr>
              <w:t xml:space="preserve"> </w:t>
            </w:r>
            <w:r w:rsidR="00D15E28" w:rsidRPr="008436D9">
              <w:rPr>
                <w:rFonts w:ascii="Times New Roman" w:hAnsi="Times New Roman" w:cs="Times New Roman"/>
                <w:b/>
                <w:u w:val="single"/>
              </w:rPr>
              <w:t>SUBMIT IN ESNAPS</w:t>
            </w:r>
          </w:p>
          <w:p w14:paraId="6B3B1AB5" w14:textId="48C051B6" w:rsidR="00274FE1" w:rsidRPr="008436D9" w:rsidRDefault="0035297D" w:rsidP="00274FE1">
            <w:pPr>
              <w:pStyle w:val="ListParagraph"/>
              <w:numPr>
                <w:ilvl w:val="0"/>
                <w:numId w:val="1"/>
              </w:numPr>
              <w:rPr>
                <w:rFonts w:ascii="Times New Roman" w:hAnsi="Times New Roman" w:cs="Times New Roman"/>
              </w:rPr>
            </w:pPr>
            <w:r w:rsidRPr="008436D9">
              <w:rPr>
                <w:rFonts w:ascii="Times New Roman" w:hAnsi="Times New Roman" w:cs="Times New Roman"/>
              </w:rPr>
              <w:t>August 10</w:t>
            </w:r>
            <w:r w:rsidRPr="008436D9">
              <w:rPr>
                <w:rFonts w:ascii="Times New Roman" w:hAnsi="Times New Roman" w:cs="Times New Roman"/>
                <w:vertAlign w:val="superscript"/>
              </w:rPr>
              <w:t>th</w:t>
            </w:r>
            <w:r w:rsidRPr="008436D9">
              <w:rPr>
                <w:rFonts w:ascii="Times New Roman" w:hAnsi="Times New Roman" w:cs="Times New Roman"/>
              </w:rPr>
              <w:t xml:space="preserve"> </w:t>
            </w:r>
            <w:r w:rsidR="00274FE1" w:rsidRPr="008436D9">
              <w:rPr>
                <w:rFonts w:ascii="Times New Roman" w:hAnsi="Times New Roman" w:cs="Times New Roman"/>
              </w:rPr>
              <w:t>– Final FY202</w:t>
            </w:r>
            <w:r w:rsidR="003F6C6D" w:rsidRPr="008436D9">
              <w:rPr>
                <w:rFonts w:ascii="Times New Roman" w:hAnsi="Times New Roman" w:cs="Times New Roman"/>
              </w:rPr>
              <w:t>6</w:t>
            </w:r>
            <w:r w:rsidR="00274FE1" w:rsidRPr="008436D9">
              <w:rPr>
                <w:rFonts w:ascii="Times New Roman" w:hAnsi="Times New Roman" w:cs="Times New Roman"/>
              </w:rPr>
              <w:t xml:space="preserve"> Priority List </w:t>
            </w:r>
            <w:r w:rsidR="00973724" w:rsidRPr="008436D9">
              <w:rPr>
                <w:rFonts w:ascii="Times New Roman" w:hAnsi="Times New Roman" w:cs="Times New Roman"/>
              </w:rPr>
              <w:t>post</w:t>
            </w:r>
          </w:p>
          <w:p w14:paraId="1DBF3E39" w14:textId="7BAF6F76" w:rsidR="00E23314" w:rsidRPr="008436D9" w:rsidRDefault="0035297D" w:rsidP="00AA4CEF">
            <w:pPr>
              <w:pStyle w:val="ListParagraph"/>
              <w:numPr>
                <w:ilvl w:val="0"/>
                <w:numId w:val="1"/>
              </w:numPr>
              <w:rPr>
                <w:rFonts w:ascii="Times New Roman" w:hAnsi="Times New Roman" w:cs="Times New Roman"/>
              </w:rPr>
            </w:pPr>
            <w:r w:rsidRPr="008436D9">
              <w:rPr>
                <w:rFonts w:ascii="Times New Roman" w:hAnsi="Times New Roman" w:cs="Times New Roman"/>
                <w:bCs/>
              </w:rPr>
              <w:t>August 19</w:t>
            </w:r>
            <w:r w:rsidRPr="008436D9">
              <w:rPr>
                <w:rFonts w:ascii="Times New Roman" w:hAnsi="Times New Roman" w:cs="Times New Roman"/>
                <w:bCs/>
                <w:vertAlign w:val="superscript"/>
              </w:rPr>
              <w:t>th</w:t>
            </w:r>
            <w:r w:rsidRPr="008436D9">
              <w:rPr>
                <w:rFonts w:ascii="Times New Roman" w:hAnsi="Times New Roman" w:cs="Times New Roman"/>
                <w:bCs/>
              </w:rPr>
              <w:t xml:space="preserve"> </w:t>
            </w:r>
            <w:r w:rsidR="00AA4CEF" w:rsidRPr="008436D9">
              <w:rPr>
                <w:rFonts w:ascii="Times New Roman" w:hAnsi="Times New Roman" w:cs="Times New Roman"/>
                <w:bCs/>
              </w:rPr>
              <w:t>–FY202</w:t>
            </w:r>
            <w:r w:rsidR="003F6C6D" w:rsidRPr="008436D9">
              <w:rPr>
                <w:rFonts w:ascii="Times New Roman" w:hAnsi="Times New Roman" w:cs="Times New Roman"/>
                <w:bCs/>
              </w:rPr>
              <w:t>6</w:t>
            </w:r>
            <w:r w:rsidR="00AA4CEF" w:rsidRPr="008436D9">
              <w:rPr>
                <w:rFonts w:ascii="Times New Roman" w:hAnsi="Times New Roman" w:cs="Times New Roman"/>
                <w:bCs/>
              </w:rPr>
              <w:t xml:space="preserve"> Priority List</w:t>
            </w:r>
            <w:r w:rsidR="001B755D" w:rsidRPr="008436D9">
              <w:rPr>
                <w:rFonts w:ascii="Times New Roman" w:hAnsi="Times New Roman" w:cs="Times New Roman"/>
                <w:bCs/>
              </w:rPr>
              <w:t xml:space="preserve"> and Collaborative Application</w:t>
            </w:r>
            <w:r w:rsidR="00AA4CEF" w:rsidRPr="008436D9">
              <w:rPr>
                <w:rFonts w:ascii="Times New Roman" w:hAnsi="Times New Roman" w:cs="Times New Roman"/>
                <w:b/>
              </w:rPr>
              <w:t xml:space="preserve"> </w:t>
            </w:r>
            <w:r w:rsidR="00AA4CEF" w:rsidRPr="008436D9">
              <w:rPr>
                <w:rFonts w:ascii="Times New Roman" w:hAnsi="Times New Roman" w:cs="Times New Roman"/>
              </w:rPr>
              <w:t>post</w:t>
            </w:r>
            <w:r w:rsidR="00BB58DD" w:rsidRPr="008436D9">
              <w:rPr>
                <w:rFonts w:ascii="Times New Roman" w:hAnsi="Times New Roman" w:cs="Times New Roman"/>
              </w:rPr>
              <w:t>ed</w:t>
            </w:r>
            <w:r w:rsidR="00AA4CEF" w:rsidRPr="008436D9">
              <w:rPr>
                <w:rFonts w:ascii="Times New Roman" w:hAnsi="Times New Roman" w:cs="Times New Roman"/>
              </w:rPr>
              <w:t xml:space="preserve"> </w:t>
            </w:r>
            <w:hyperlink r:id="rId10" w:history="1"/>
          </w:p>
          <w:p w14:paraId="165C1DD6" w14:textId="3466B854" w:rsidR="00E23314" w:rsidRPr="008436D9" w:rsidRDefault="0035297D" w:rsidP="00487289">
            <w:pPr>
              <w:pStyle w:val="ListParagraph"/>
              <w:numPr>
                <w:ilvl w:val="0"/>
                <w:numId w:val="1"/>
              </w:numPr>
              <w:rPr>
                <w:rFonts w:ascii="Times New Roman" w:hAnsi="Times New Roman" w:cs="Times New Roman"/>
                <w:b/>
                <w:bCs/>
              </w:rPr>
            </w:pPr>
            <w:r w:rsidRPr="008436D9">
              <w:rPr>
                <w:rFonts w:ascii="Times New Roman" w:hAnsi="Times New Roman" w:cs="Times New Roman"/>
                <w:b/>
                <w:bCs/>
              </w:rPr>
              <w:t>August 26</w:t>
            </w:r>
            <w:r w:rsidRPr="008436D9">
              <w:rPr>
                <w:rFonts w:ascii="Times New Roman" w:hAnsi="Times New Roman" w:cs="Times New Roman"/>
                <w:b/>
                <w:bCs/>
                <w:vertAlign w:val="superscript"/>
              </w:rPr>
              <w:t>th</w:t>
            </w:r>
            <w:r w:rsidRPr="008436D9">
              <w:rPr>
                <w:rFonts w:ascii="Times New Roman" w:hAnsi="Times New Roman" w:cs="Times New Roman"/>
                <w:b/>
                <w:bCs/>
              </w:rPr>
              <w:t xml:space="preserve"> </w:t>
            </w:r>
            <w:r w:rsidR="00642011" w:rsidRPr="008436D9">
              <w:rPr>
                <w:rFonts w:ascii="Times New Roman" w:hAnsi="Times New Roman" w:cs="Times New Roman"/>
                <w:b/>
                <w:bCs/>
              </w:rPr>
              <w:t>-</w:t>
            </w:r>
            <w:r w:rsidR="005D5ECB" w:rsidRPr="008436D9">
              <w:rPr>
                <w:rFonts w:ascii="Times New Roman" w:hAnsi="Times New Roman" w:cs="Times New Roman"/>
                <w:b/>
                <w:bCs/>
              </w:rPr>
              <w:t xml:space="preserve"> </w:t>
            </w:r>
            <w:r w:rsidR="002767F7" w:rsidRPr="008436D9">
              <w:rPr>
                <w:rFonts w:ascii="Times New Roman" w:hAnsi="Times New Roman" w:cs="Times New Roman"/>
                <w:b/>
                <w:bCs/>
              </w:rPr>
              <w:t>Co</w:t>
            </w:r>
            <w:r w:rsidR="00487289" w:rsidRPr="008436D9">
              <w:rPr>
                <w:rFonts w:ascii="Times New Roman" w:hAnsi="Times New Roman" w:cs="Times New Roman"/>
                <w:b/>
                <w:bCs/>
              </w:rPr>
              <w:t>llaborative Application &amp; Priority List deadline</w:t>
            </w:r>
            <w:r w:rsidR="002B635E" w:rsidRPr="008436D9">
              <w:rPr>
                <w:rFonts w:ascii="Times New Roman" w:hAnsi="Times New Roman" w:cs="Times New Roman"/>
                <w:b/>
                <w:bCs/>
              </w:rPr>
              <w:t xml:space="preserve"> to HUD</w:t>
            </w:r>
          </w:p>
          <w:p w14:paraId="4CC2D172" w14:textId="567B0C43" w:rsidR="00DD628A" w:rsidRPr="00A6129D" w:rsidRDefault="00DD628A" w:rsidP="00DD628A">
            <w:pPr>
              <w:rPr>
                <w:rFonts w:ascii="Times New Roman" w:hAnsi="Times New Roman" w:cs="Times New Roman"/>
              </w:rPr>
            </w:pPr>
            <w:r w:rsidRPr="008436D9">
              <w:rPr>
                <w:rFonts w:ascii="Times New Roman" w:hAnsi="Times New Roman" w:cs="Times New Roman"/>
              </w:rPr>
              <w:t xml:space="preserve">Project Applicants requiring assistance with </w:t>
            </w:r>
            <w:r w:rsidR="00B523AB" w:rsidRPr="008436D9">
              <w:rPr>
                <w:rFonts w:ascii="Times New Roman" w:hAnsi="Times New Roman" w:cs="Times New Roman"/>
              </w:rPr>
              <w:t xml:space="preserve">any aspect of the project </w:t>
            </w:r>
            <w:r w:rsidRPr="008436D9">
              <w:rPr>
                <w:rFonts w:ascii="Times New Roman" w:hAnsi="Times New Roman" w:cs="Times New Roman"/>
              </w:rPr>
              <w:t>application can contact CoC coordinator to set up 1:1 time to meet</w:t>
            </w:r>
            <w:r w:rsidR="00F14B3C" w:rsidRPr="008436D9">
              <w:rPr>
                <w:rFonts w:ascii="Times New Roman" w:hAnsi="Times New Roman" w:cs="Times New Roman"/>
              </w:rPr>
              <w:t xml:space="preserve"> -</w:t>
            </w:r>
            <w:r w:rsidRPr="008436D9">
              <w:rPr>
                <w:rFonts w:ascii="Times New Roman" w:hAnsi="Times New Roman" w:cs="Times New Roman"/>
              </w:rPr>
              <w:t xml:space="preserve"> </w:t>
            </w:r>
            <w:hyperlink r:id="rId11" w:history="1">
              <w:r w:rsidRPr="008436D9">
                <w:rPr>
                  <w:rStyle w:val="Hyperlink"/>
                  <w:rFonts w:ascii="Times New Roman" w:hAnsi="Times New Roman" w:cs="Times New Roman"/>
                </w:rPr>
                <w:t>laura.derosier@hennepin.us</w:t>
              </w:r>
            </w:hyperlink>
            <w:r w:rsidRPr="00A6129D">
              <w:rPr>
                <w:rFonts w:ascii="Times New Roman" w:hAnsi="Times New Roman" w:cs="Times New Roman"/>
              </w:rPr>
              <w:t xml:space="preserve"> </w:t>
            </w:r>
          </w:p>
        </w:tc>
      </w:tr>
    </w:tbl>
    <w:p w14:paraId="6E577F6C" w14:textId="4DF72A2D" w:rsidR="00E23314" w:rsidRPr="00851C32" w:rsidRDefault="00487289" w:rsidP="008222A5">
      <w:pPr>
        <w:rPr>
          <w:rFonts w:ascii="Times New Roman" w:hAnsi="Times New Roman" w:cs="Times New Roman"/>
        </w:rPr>
      </w:pPr>
      <w:r w:rsidRPr="00851C32">
        <w:rPr>
          <w:rFonts w:ascii="Times New Roman" w:hAnsi="Times New Roman" w:cs="Times New Roman"/>
          <w:u w:val="single"/>
        </w:rPr>
        <w:t>HUD CoC Consolidated</w:t>
      </w:r>
      <w:r w:rsidR="00E23314" w:rsidRPr="00851C32">
        <w:rPr>
          <w:rFonts w:ascii="Times New Roman" w:hAnsi="Times New Roman" w:cs="Times New Roman"/>
          <w:u w:val="single"/>
        </w:rPr>
        <w:t xml:space="preserve"> Application Deadline</w:t>
      </w:r>
      <w:r w:rsidR="00E23314" w:rsidRPr="00851C32">
        <w:rPr>
          <w:rFonts w:ascii="Times New Roman" w:hAnsi="Times New Roman" w:cs="Times New Roman"/>
        </w:rPr>
        <w:t xml:space="preserve">: </w:t>
      </w:r>
      <w:r w:rsidR="00433E74">
        <w:rPr>
          <w:rFonts w:ascii="Times New Roman" w:hAnsi="Times New Roman" w:cs="Times New Roman"/>
        </w:rPr>
        <w:t xml:space="preserve">August 26, </w:t>
      </w:r>
      <w:proofErr w:type="gramStart"/>
      <w:r w:rsidR="00433E74">
        <w:rPr>
          <w:rFonts w:ascii="Times New Roman" w:hAnsi="Times New Roman" w:cs="Times New Roman"/>
        </w:rPr>
        <w:t>2026</w:t>
      </w:r>
      <w:r w:rsidR="00E23314" w:rsidRPr="00851C32">
        <w:rPr>
          <w:rFonts w:ascii="Times New Roman" w:hAnsi="Times New Roman" w:cs="Times New Roman"/>
        </w:rPr>
        <w:t xml:space="preserve">  </w:t>
      </w:r>
      <w:r w:rsidR="00E23314" w:rsidRPr="00851C32">
        <w:rPr>
          <w:rFonts w:ascii="Times New Roman" w:hAnsi="Times New Roman" w:cs="Times New Roman"/>
          <w:b/>
        </w:rPr>
        <w:t>Note</w:t>
      </w:r>
      <w:proofErr w:type="gramEnd"/>
      <w:r w:rsidR="00E23314" w:rsidRPr="00851C32">
        <w:rPr>
          <w:rFonts w:ascii="Times New Roman" w:hAnsi="Times New Roman" w:cs="Times New Roman"/>
          <w:b/>
        </w:rPr>
        <w:t>:</w:t>
      </w:r>
      <w:r w:rsidR="002A18CA" w:rsidRPr="00851C32">
        <w:rPr>
          <w:rFonts w:ascii="Times New Roman" w:hAnsi="Times New Roman" w:cs="Times New Roman"/>
        </w:rPr>
        <w:t xml:space="preserve"> </w:t>
      </w:r>
      <w:r w:rsidR="00E23314" w:rsidRPr="00851C32">
        <w:rPr>
          <w:rFonts w:ascii="Times New Roman" w:hAnsi="Times New Roman" w:cs="Times New Roman"/>
        </w:rPr>
        <w:t xml:space="preserve">Project Applications must be submitted by the </w:t>
      </w:r>
      <w:r w:rsidR="003A7ED7" w:rsidRPr="00851C32">
        <w:rPr>
          <w:rFonts w:ascii="Times New Roman" w:hAnsi="Times New Roman" w:cs="Times New Roman"/>
        </w:rPr>
        <w:t>above</w:t>
      </w:r>
      <w:r w:rsidR="008222A5" w:rsidRPr="00851C32">
        <w:rPr>
          <w:rFonts w:ascii="Times New Roman" w:hAnsi="Times New Roman" w:cs="Times New Roman"/>
        </w:rPr>
        <w:t xml:space="preserve"> Hennepin CoC</w:t>
      </w:r>
      <w:r w:rsidR="00E23314" w:rsidRPr="00851C32">
        <w:rPr>
          <w:rFonts w:ascii="Times New Roman" w:hAnsi="Times New Roman" w:cs="Times New Roman"/>
        </w:rPr>
        <w:t xml:space="preserve"> deadlines NOT the Consolidated Application deadline</w:t>
      </w:r>
      <w:r w:rsidR="004B3F61">
        <w:rPr>
          <w:rFonts w:ascii="Times New Roman" w:hAnsi="Times New Roman" w:cs="Times New Roman"/>
        </w:rPr>
        <w:t xml:space="preserve"> above</w:t>
      </w:r>
      <w:r w:rsidR="00E23314" w:rsidRPr="00851C32">
        <w:rPr>
          <w:rFonts w:ascii="Times New Roman" w:hAnsi="Times New Roman" w:cs="Times New Roman"/>
        </w:rPr>
        <w:t>.</w:t>
      </w:r>
    </w:p>
    <w:p w14:paraId="7C3542DB" w14:textId="7F53D2CF" w:rsidR="00B256CA" w:rsidRPr="00851C32" w:rsidRDefault="00D04A97" w:rsidP="008222A5">
      <w:pPr>
        <w:rPr>
          <w:rFonts w:ascii="Times New Roman" w:hAnsi="Times New Roman" w:cs="Times New Roman"/>
          <w:u w:val="single"/>
        </w:rPr>
      </w:pPr>
      <w:r w:rsidRPr="00851C32">
        <w:rPr>
          <w:rFonts w:ascii="Times New Roman" w:hAnsi="Times New Roman" w:cs="Times New Roman"/>
        </w:rPr>
        <w:t>HUD announces</w:t>
      </w:r>
      <w:r w:rsidR="00A21146" w:rsidRPr="00851C32">
        <w:rPr>
          <w:rFonts w:ascii="Times New Roman" w:hAnsi="Times New Roman" w:cs="Times New Roman"/>
        </w:rPr>
        <w:t xml:space="preserve"> a</w:t>
      </w:r>
      <w:r w:rsidR="00B256CA" w:rsidRPr="00851C32">
        <w:rPr>
          <w:rFonts w:ascii="Times New Roman" w:hAnsi="Times New Roman" w:cs="Times New Roman"/>
        </w:rPr>
        <w:t>pproximately</w:t>
      </w:r>
      <w:r w:rsidR="00903D66">
        <w:rPr>
          <w:rFonts w:ascii="Times New Roman" w:hAnsi="Times New Roman" w:cs="Times New Roman"/>
        </w:rPr>
        <w:t xml:space="preserve"> $4,040,</w:t>
      </w:r>
      <w:r w:rsidR="001B2F07">
        <w:rPr>
          <w:rFonts w:ascii="Times New Roman" w:hAnsi="Times New Roman" w:cs="Times New Roman"/>
        </w:rPr>
        <w:t>000,000</w:t>
      </w:r>
      <w:r w:rsidR="0087045C" w:rsidRPr="00851C32">
        <w:rPr>
          <w:rFonts w:ascii="Times New Roman" w:hAnsi="Times New Roman" w:cs="Times New Roman"/>
        </w:rPr>
        <w:t xml:space="preserve"> </w:t>
      </w:r>
      <w:r w:rsidR="00B256CA" w:rsidRPr="00851C32">
        <w:rPr>
          <w:rFonts w:ascii="Times New Roman" w:hAnsi="Times New Roman" w:cs="Times New Roman"/>
        </w:rPr>
        <w:t>available for the FY</w:t>
      </w:r>
      <w:r w:rsidR="00433E74">
        <w:rPr>
          <w:rFonts w:ascii="Times New Roman" w:hAnsi="Times New Roman" w:cs="Times New Roman"/>
        </w:rPr>
        <w:t>26</w:t>
      </w:r>
      <w:r w:rsidR="00B256CA" w:rsidRPr="00851C32">
        <w:rPr>
          <w:rFonts w:ascii="Times New Roman" w:hAnsi="Times New Roman" w:cs="Times New Roman"/>
        </w:rPr>
        <w:t xml:space="preserve"> CoC Program NOF</w:t>
      </w:r>
      <w:r w:rsidR="006C3DC6" w:rsidRPr="00851C32">
        <w:rPr>
          <w:rFonts w:ascii="Times New Roman" w:hAnsi="Times New Roman" w:cs="Times New Roman"/>
        </w:rPr>
        <w:t>O</w:t>
      </w:r>
      <w:r w:rsidR="00A431AA">
        <w:rPr>
          <w:rFonts w:ascii="Times New Roman" w:hAnsi="Times New Roman" w:cs="Times New Roman"/>
        </w:rPr>
        <w:t>. Of the funds available, $</w:t>
      </w:r>
      <w:r w:rsidR="002C0DDB">
        <w:rPr>
          <w:rFonts w:ascii="Times New Roman" w:hAnsi="Times New Roman" w:cs="Times New Roman"/>
        </w:rPr>
        <w:t>52,000,000 is</w:t>
      </w:r>
      <w:r w:rsidR="00B256CA" w:rsidRPr="00851C32">
        <w:rPr>
          <w:rFonts w:ascii="Times New Roman" w:hAnsi="Times New Roman" w:cs="Times New Roman"/>
        </w:rPr>
        <w:t xml:space="preserve"> available for New Domestic Violence (DV) Bonus proje</w:t>
      </w:r>
      <w:r w:rsidR="00A431AA">
        <w:rPr>
          <w:rFonts w:ascii="Times New Roman" w:hAnsi="Times New Roman" w:cs="Times New Roman"/>
        </w:rPr>
        <w:t>cts</w:t>
      </w:r>
      <w:r w:rsidR="00D13645">
        <w:rPr>
          <w:rFonts w:ascii="Times New Roman" w:hAnsi="Times New Roman" w:cs="Times New Roman"/>
        </w:rPr>
        <w:t>.</w:t>
      </w:r>
    </w:p>
    <w:p w14:paraId="2DC03C69" w14:textId="0E1463F4" w:rsidR="003C624F" w:rsidRPr="00851C32" w:rsidRDefault="003C624F" w:rsidP="008222A5">
      <w:pPr>
        <w:rPr>
          <w:rFonts w:ascii="Times New Roman" w:hAnsi="Times New Roman" w:cs="Times New Roman"/>
          <w:b/>
          <w:bCs/>
          <w:u w:val="single"/>
        </w:rPr>
      </w:pPr>
      <w:r w:rsidRPr="00851C32">
        <w:rPr>
          <w:rFonts w:ascii="Times New Roman" w:hAnsi="Times New Roman" w:cs="Times New Roman"/>
          <w:b/>
          <w:bCs/>
          <w:u w:val="single"/>
        </w:rPr>
        <w:t>Hennepin County</w:t>
      </w:r>
      <w:r w:rsidR="003D1381" w:rsidRPr="00851C32">
        <w:rPr>
          <w:rFonts w:ascii="Times New Roman" w:hAnsi="Times New Roman" w:cs="Times New Roman"/>
          <w:b/>
          <w:bCs/>
          <w:u w:val="single"/>
        </w:rPr>
        <w:t xml:space="preserve"> FY</w:t>
      </w:r>
      <w:r w:rsidR="00412D34" w:rsidRPr="00851C32">
        <w:rPr>
          <w:rFonts w:ascii="Times New Roman" w:hAnsi="Times New Roman" w:cs="Times New Roman"/>
          <w:b/>
          <w:bCs/>
          <w:u w:val="single"/>
        </w:rPr>
        <w:t>20</w:t>
      </w:r>
      <w:r w:rsidR="005D27A4" w:rsidRPr="00851C32">
        <w:rPr>
          <w:rFonts w:ascii="Times New Roman" w:hAnsi="Times New Roman" w:cs="Times New Roman"/>
          <w:b/>
          <w:bCs/>
          <w:u w:val="single"/>
        </w:rPr>
        <w:t>2</w:t>
      </w:r>
      <w:r w:rsidR="00D13645">
        <w:rPr>
          <w:rFonts w:ascii="Times New Roman" w:hAnsi="Times New Roman" w:cs="Times New Roman"/>
          <w:b/>
          <w:bCs/>
          <w:u w:val="single"/>
        </w:rPr>
        <w:t>6</w:t>
      </w:r>
      <w:r w:rsidR="00715EE2" w:rsidRPr="00851C32">
        <w:rPr>
          <w:rFonts w:ascii="Times New Roman" w:hAnsi="Times New Roman" w:cs="Times New Roman"/>
          <w:b/>
          <w:bCs/>
          <w:u w:val="single"/>
        </w:rPr>
        <w:t xml:space="preserve"> </w:t>
      </w:r>
      <w:r w:rsidR="004E30F5" w:rsidRPr="00851C32">
        <w:rPr>
          <w:rFonts w:ascii="Times New Roman" w:hAnsi="Times New Roman" w:cs="Times New Roman"/>
          <w:b/>
          <w:bCs/>
          <w:u w:val="single"/>
        </w:rPr>
        <w:t>available funds</w:t>
      </w:r>
      <w:r w:rsidR="00D46193">
        <w:rPr>
          <w:rFonts w:ascii="Times New Roman" w:hAnsi="Times New Roman" w:cs="Times New Roman"/>
          <w:b/>
          <w:bCs/>
          <w:u w:val="single"/>
        </w:rPr>
        <w:t xml:space="preserve"> (has not </w:t>
      </w:r>
      <w:r w:rsidR="00A021E1">
        <w:rPr>
          <w:rFonts w:ascii="Times New Roman" w:hAnsi="Times New Roman" w:cs="Times New Roman"/>
          <w:b/>
          <w:bCs/>
          <w:u w:val="single"/>
        </w:rPr>
        <w:t>been released</w:t>
      </w:r>
      <w:r w:rsidR="00D46193">
        <w:rPr>
          <w:rFonts w:ascii="Times New Roman" w:hAnsi="Times New Roman" w:cs="Times New Roman"/>
          <w:b/>
          <w:bCs/>
          <w:u w:val="single"/>
        </w:rPr>
        <w:t xml:space="preserve"> yet)</w:t>
      </w:r>
      <w:r w:rsidR="00AC39ED" w:rsidRPr="00851C32">
        <w:rPr>
          <w:rFonts w:ascii="Times New Roman" w:hAnsi="Times New Roman" w:cs="Times New Roman"/>
          <w:b/>
          <w:bCs/>
          <w:u w:val="single"/>
        </w:rPr>
        <w:t>:</w:t>
      </w:r>
    </w:p>
    <w:tbl>
      <w:tblPr>
        <w:tblStyle w:val="TableGrid"/>
        <w:tblW w:w="9805" w:type="dxa"/>
        <w:tblLook w:val="04A0" w:firstRow="1" w:lastRow="0" w:firstColumn="1" w:lastColumn="0" w:noHBand="0" w:noVBand="1"/>
      </w:tblPr>
      <w:tblGrid>
        <w:gridCol w:w="1345"/>
        <w:gridCol w:w="8460"/>
      </w:tblGrid>
      <w:tr w:rsidR="00200F15" w:rsidRPr="00851C32" w14:paraId="5248A610" w14:textId="77777777" w:rsidTr="0066424E">
        <w:tc>
          <w:tcPr>
            <w:tcW w:w="1345" w:type="dxa"/>
            <w:shd w:val="clear" w:color="auto" w:fill="D9D9D9" w:themeFill="background1" w:themeFillShade="D9"/>
          </w:tcPr>
          <w:p w14:paraId="42DA4A75" w14:textId="2A5DDB57" w:rsidR="00200F15" w:rsidRPr="0074147B" w:rsidRDefault="00200F15" w:rsidP="008222A5">
            <w:pPr>
              <w:rPr>
                <w:rFonts w:ascii="Times New Roman" w:hAnsi="Times New Roman" w:cs="Times New Roman"/>
              </w:rPr>
            </w:pPr>
          </w:p>
        </w:tc>
        <w:tc>
          <w:tcPr>
            <w:tcW w:w="8460" w:type="dxa"/>
            <w:shd w:val="clear" w:color="auto" w:fill="D9D9D9" w:themeFill="background1" w:themeFillShade="D9"/>
          </w:tcPr>
          <w:p w14:paraId="4B673AD4"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Primary Pro-Rata Need (PPRN)</w:t>
            </w:r>
          </w:p>
        </w:tc>
      </w:tr>
      <w:tr w:rsidR="00200F15" w:rsidRPr="00851C32" w14:paraId="6957AAAD" w14:textId="77777777" w:rsidTr="0066424E">
        <w:tc>
          <w:tcPr>
            <w:tcW w:w="1345" w:type="dxa"/>
            <w:shd w:val="clear" w:color="auto" w:fill="D9D9D9" w:themeFill="background1" w:themeFillShade="D9"/>
          </w:tcPr>
          <w:p w14:paraId="4817A5DA" w14:textId="2FE127AB" w:rsidR="00200F15" w:rsidRPr="0074147B" w:rsidRDefault="00200F15" w:rsidP="008222A5">
            <w:pPr>
              <w:rPr>
                <w:rFonts w:ascii="Times New Roman" w:hAnsi="Times New Roman" w:cs="Times New Roman"/>
              </w:rPr>
            </w:pPr>
          </w:p>
        </w:tc>
        <w:tc>
          <w:tcPr>
            <w:tcW w:w="8460" w:type="dxa"/>
            <w:shd w:val="clear" w:color="auto" w:fill="D9D9D9" w:themeFill="background1" w:themeFillShade="D9"/>
          </w:tcPr>
          <w:p w14:paraId="4E428791"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Estimated Annual Renewal Demand (ARD)</w:t>
            </w:r>
          </w:p>
        </w:tc>
      </w:tr>
      <w:tr w:rsidR="00200F15" w:rsidRPr="00851C32" w14:paraId="6EB92763" w14:textId="77777777" w:rsidTr="0066424E">
        <w:tc>
          <w:tcPr>
            <w:tcW w:w="1345" w:type="dxa"/>
            <w:shd w:val="clear" w:color="auto" w:fill="D9D9D9" w:themeFill="background1" w:themeFillShade="D9"/>
          </w:tcPr>
          <w:p w14:paraId="633BA95B" w14:textId="6BBBA22F" w:rsidR="00200F15" w:rsidRPr="005B3108" w:rsidRDefault="00200F15" w:rsidP="008222A5">
            <w:pPr>
              <w:rPr>
                <w:rFonts w:ascii="Times New Roman" w:hAnsi="Times New Roman" w:cs="Times New Roman"/>
              </w:rPr>
            </w:pPr>
          </w:p>
        </w:tc>
        <w:tc>
          <w:tcPr>
            <w:tcW w:w="8460" w:type="dxa"/>
            <w:shd w:val="clear" w:color="auto" w:fill="D9D9D9" w:themeFill="background1" w:themeFillShade="D9"/>
          </w:tcPr>
          <w:p w14:paraId="02DCE13A" w14:textId="064EE376" w:rsidR="00200F15" w:rsidRPr="00851C32" w:rsidRDefault="00200F15" w:rsidP="008222A5">
            <w:pPr>
              <w:rPr>
                <w:rFonts w:ascii="Times New Roman" w:hAnsi="Times New Roman" w:cs="Times New Roman"/>
              </w:rPr>
            </w:pPr>
            <w:r w:rsidRPr="00851C32">
              <w:rPr>
                <w:rFonts w:ascii="Times New Roman" w:hAnsi="Times New Roman" w:cs="Times New Roman"/>
              </w:rPr>
              <w:t>Tier 1 (</w:t>
            </w:r>
            <w:r w:rsidR="006A0821" w:rsidRPr="00851C32">
              <w:rPr>
                <w:rFonts w:ascii="Times New Roman" w:hAnsi="Times New Roman" w:cs="Times New Roman"/>
              </w:rPr>
              <w:t>9</w:t>
            </w:r>
            <w:r w:rsidR="0044761A">
              <w:rPr>
                <w:rFonts w:ascii="Times New Roman" w:hAnsi="Times New Roman" w:cs="Times New Roman"/>
              </w:rPr>
              <w:t>0</w:t>
            </w:r>
            <w:r w:rsidRPr="00851C32">
              <w:rPr>
                <w:rFonts w:ascii="Times New Roman" w:hAnsi="Times New Roman" w:cs="Times New Roman"/>
              </w:rPr>
              <w:t>% of ARD)</w:t>
            </w:r>
          </w:p>
        </w:tc>
      </w:tr>
      <w:tr w:rsidR="006A0821" w:rsidRPr="00851C32" w14:paraId="76E3C4CF" w14:textId="77777777" w:rsidTr="0066424E">
        <w:tc>
          <w:tcPr>
            <w:tcW w:w="1345" w:type="dxa"/>
            <w:shd w:val="clear" w:color="auto" w:fill="D9D9D9" w:themeFill="background1" w:themeFillShade="D9"/>
          </w:tcPr>
          <w:p w14:paraId="5F6A08F3" w14:textId="77777777" w:rsidR="006A0821" w:rsidRPr="00851C32" w:rsidRDefault="006A0821" w:rsidP="008222A5">
            <w:pPr>
              <w:rPr>
                <w:rFonts w:ascii="Times New Roman" w:hAnsi="Times New Roman" w:cs="Times New Roman"/>
                <w:color w:val="FF0000"/>
              </w:rPr>
            </w:pPr>
          </w:p>
        </w:tc>
        <w:tc>
          <w:tcPr>
            <w:tcW w:w="8460" w:type="dxa"/>
            <w:shd w:val="clear" w:color="auto" w:fill="D9D9D9" w:themeFill="background1" w:themeFillShade="D9"/>
          </w:tcPr>
          <w:p w14:paraId="01E6309E" w14:textId="60B4FDF6" w:rsidR="006A0821" w:rsidRPr="00851C32" w:rsidRDefault="006A0821" w:rsidP="008222A5">
            <w:pPr>
              <w:rPr>
                <w:rFonts w:ascii="Times New Roman" w:hAnsi="Times New Roman" w:cs="Times New Roman"/>
              </w:rPr>
            </w:pPr>
            <w:r w:rsidRPr="00851C32">
              <w:rPr>
                <w:rFonts w:ascii="Times New Roman" w:hAnsi="Times New Roman" w:cs="Times New Roman"/>
              </w:rPr>
              <w:t>Tier 2 (</w:t>
            </w:r>
            <w:r w:rsidR="0044761A">
              <w:rPr>
                <w:rFonts w:ascii="Times New Roman" w:hAnsi="Times New Roman" w:cs="Times New Roman"/>
              </w:rPr>
              <w:t>10</w:t>
            </w:r>
            <w:r w:rsidRPr="00851C32">
              <w:rPr>
                <w:rFonts w:ascii="Times New Roman" w:hAnsi="Times New Roman" w:cs="Times New Roman"/>
              </w:rPr>
              <w:t>% of ARD)</w:t>
            </w:r>
          </w:p>
        </w:tc>
      </w:tr>
      <w:tr w:rsidR="00200F15" w:rsidRPr="00851C32" w14:paraId="5EBAB89D" w14:textId="77777777" w:rsidTr="0066424E">
        <w:tc>
          <w:tcPr>
            <w:tcW w:w="1345" w:type="dxa"/>
            <w:shd w:val="clear" w:color="auto" w:fill="D9D9D9" w:themeFill="background1" w:themeFillShade="D9"/>
          </w:tcPr>
          <w:p w14:paraId="4B310B1A" w14:textId="1849E7D4" w:rsidR="00200F15" w:rsidRPr="00D47904" w:rsidRDefault="00200F15" w:rsidP="008222A5">
            <w:pPr>
              <w:rPr>
                <w:rFonts w:ascii="Times New Roman" w:hAnsi="Times New Roman" w:cs="Times New Roman"/>
              </w:rPr>
            </w:pPr>
          </w:p>
        </w:tc>
        <w:tc>
          <w:tcPr>
            <w:tcW w:w="8460" w:type="dxa"/>
            <w:shd w:val="clear" w:color="auto" w:fill="D9D9D9" w:themeFill="background1" w:themeFillShade="D9"/>
          </w:tcPr>
          <w:p w14:paraId="3383B4C5" w14:textId="24D0D17D" w:rsidR="00200F15" w:rsidRPr="00851C32" w:rsidRDefault="00F15082" w:rsidP="008222A5">
            <w:pPr>
              <w:rPr>
                <w:rFonts w:ascii="Times New Roman" w:hAnsi="Times New Roman" w:cs="Times New Roman"/>
              </w:rPr>
            </w:pPr>
            <w:r w:rsidRPr="00851C32">
              <w:rPr>
                <w:rFonts w:ascii="Times New Roman" w:hAnsi="Times New Roman" w:cs="Times New Roman"/>
              </w:rPr>
              <w:t>CoC</w:t>
            </w:r>
            <w:r w:rsidR="00200F15" w:rsidRPr="00851C32">
              <w:rPr>
                <w:rFonts w:ascii="Times New Roman" w:hAnsi="Times New Roman" w:cs="Times New Roman"/>
              </w:rPr>
              <w:t xml:space="preserve"> Bonus opportunity</w:t>
            </w:r>
            <w:r w:rsidR="00214FC2" w:rsidRPr="00851C32">
              <w:rPr>
                <w:rFonts w:ascii="Times New Roman" w:hAnsi="Times New Roman" w:cs="Times New Roman"/>
              </w:rPr>
              <w:t xml:space="preserve"> </w:t>
            </w:r>
          </w:p>
        </w:tc>
      </w:tr>
      <w:tr w:rsidR="002F4CD0" w:rsidRPr="00851C32" w14:paraId="2C472F6F" w14:textId="77777777" w:rsidTr="0066424E">
        <w:tc>
          <w:tcPr>
            <w:tcW w:w="1345" w:type="dxa"/>
            <w:shd w:val="clear" w:color="auto" w:fill="D9D9D9" w:themeFill="background1" w:themeFillShade="D9"/>
          </w:tcPr>
          <w:p w14:paraId="3C495114" w14:textId="664F6224" w:rsidR="002F4CD0" w:rsidRPr="00D47904" w:rsidRDefault="002F4CD0" w:rsidP="008222A5">
            <w:pPr>
              <w:rPr>
                <w:rFonts w:ascii="Times New Roman" w:hAnsi="Times New Roman" w:cs="Times New Roman"/>
              </w:rPr>
            </w:pPr>
          </w:p>
        </w:tc>
        <w:tc>
          <w:tcPr>
            <w:tcW w:w="8460" w:type="dxa"/>
            <w:shd w:val="clear" w:color="auto" w:fill="D9D9D9" w:themeFill="background1" w:themeFillShade="D9"/>
          </w:tcPr>
          <w:p w14:paraId="63B83146" w14:textId="527F713E" w:rsidR="002F4CD0" w:rsidRPr="00851C32" w:rsidRDefault="002F4CD0" w:rsidP="008222A5">
            <w:pPr>
              <w:rPr>
                <w:rFonts w:ascii="Times New Roman" w:hAnsi="Times New Roman" w:cs="Times New Roman"/>
              </w:rPr>
            </w:pPr>
            <w:r w:rsidRPr="00851C32">
              <w:rPr>
                <w:rFonts w:ascii="Times New Roman" w:hAnsi="Times New Roman" w:cs="Times New Roman"/>
              </w:rPr>
              <w:t>DV Permanent Housing Bonus opportunity</w:t>
            </w:r>
            <w:r w:rsidR="00A71DA5" w:rsidRPr="00851C32">
              <w:rPr>
                <w:rFonts w:ascii="Times New Roman" w:hAnsi="Times New Roman" w:cs="Times New Roman"/>
              </w:rPr>
              <w:t xml:space="preserve"> </w:t>
            </w:r>
          </w:p>
        </w:tc>
      </w:tr>
    </w:tbl>
    <w:p w14:paraId="4B058B53" w14:textId="77777777" w:rsidR="002D1468" w:rsidRDefault="002D1468" w:rsidP="008222A5">
      <w:pPr>
        <w:rPr>
          <w:b/>
          <w:bCs/>
          <w:highlight w:val="yellow"/>
          <w:u w:val="single"/>
        </w:rPr>
      </w:pPr>
    </w:p>
    <w:p w14:paraId="36ED99C2" w14:textId="55C98DF3" w:rsidR="008A579D" w:rsidRPr="008436D9" w:rsidRDefault="008A579D" w:rsidP="008222A5">
      <w:pPr>
        <w:rPr>
          <w:rFonts w:ascii="Times New Roman" w:hAnsi="Times New Roman" w:cs="Times New Roman"/>
          <w:b/>
          <w:bCs/>
          <w:sz w:val="24"/>
          <w:szCs w:val="24"/>
          <w:u w:val="single"/>
        </w:rPr>
      </w:pPr>
      <w:r w:rsidRPr="008436D9">
        <w:rPr>
          <w:rFonts w:ascii="Times New Roman" w:hAnsi="Times New Roman" w:cs="Times New Roman"/>
          <w:b/>
          <w:bCs/>
          <w:sz w:val="24"/>
          <w:szCs w:val="24"/>
          <w:u w:val="single"/>
        </w:rPr>
        <w:t>Changes</w:t>
      </w:r>
      <w:r w:rsidR="005337F5" w:rsidRPr="008436D9">
        <w:rPr>
          <w:rFonts w:ascii="Times New Roman" w:hAnsi="Times New Roman" w:cs="Times New Roman"/>
          <w:b/>
          <w:bCs/>
          <w:sz w:val="24"/>
          <w:szCs w:val="24"/>
          <w:u w:val="single"/>
        </w:rPr>
        <w:t xml:space="preserve"> &amp; information</w:t>
      </w:r>
      <w:r w:rsidR="00715EE2" w:rsidRPr="008436D9">
        <w:rPr>
          <w:rFonts w:ascii="Times New Roman" w:hAnsi="Times New Roman" w:cs="Times New Roman"/>
          <w:b/>
          <w:bCs/>
          <w:sz w:val="24"/>
          <w:szCs w:val="24"/>
          <w:u w:val="single"/>
        </w:rPr>
        <w:t xml:space="preserve"> for the </w:t>
      </w:r>
      <w:r w:rsidR="00D13645" w:rsidRPr="008436D9">
        <w:rPr>
          <w:rFonts w:ascii="Times New Roman" w:hAnsi="Times New Roman" w:cs="Times New Roman"/>
          <w:b/>
          <w:bCs/>
          <w:sz w:val="24"/>
          <w:szCs w:val="24"/>
          <w:u w:val="single"/>
        </w:rPr>
        <w:t>FY2026</w:t>
      </w:r>
      <w:r w:rsidR="00674949" w:rsidRPr="008436D9">
        <w:rPr>
          <w:rFonts w:ascii="Times New Roman" w:hAnsi="Times New Roman" w:cs="Times New Roman"/>
          <w:b/>
          <w:bCs/>
          <w:sz w:val="24"/>
          <w:szCs w:val="24"/>
          <w:u w:val="single"/>
        </w:rPr>
        <w:t xml:space="preserve"> </w:t>
      </w:r>
      <w:r w:rsidR="00375A15" w:rsidRPr="008436D9">
        <w:rPr>
          <w:rFonts w:ascii="Times New Roman" w:hAnsi="Times New Roman" w:cs="Times New Roman"/>
          <w:b/>
          <w:bCs/>
          <w:sz w:val="24"/>
          <w:szCs w:val="24"/>
          <w:u w:val="single"/>
        </w:rPr>
        <w:t>CoC</w:t>
      </w:r>
      <w:r w:rsidR="00715EE2" w:rsidRPr="008436D9">
        <w:rPr>
          <w:rFonts w:ascii="Times New Roman" w:hAnsi="Times New Roman" w:cs="Times New Roman"/>
          <w:b/>
          <w:bCs/>
          <w:sz w:val="24"/>
          <w:szCs w:val="24"/>
          <w:u w:val="single"/>
        </w:rPr>
        <w:t xml:space="preserve"> NOFO</w:t>
      </w:r>
      <w:r w:rsidRPr="008436D9">
        <w:rPr>
          <w:rFonts w:ascii="Times New Roman" w:hAnsi="Times New Roman" w:cs="Times New Roman"/>
          <w:b/>
          <w:bCs/>
          <w:sz w:val="24"/>
          <w:szCs w:val="24"/>
          <w:u w:val="single"/>
        </w:rPr>
        <w:t>:</w:t>
      </w:r>
    </w:p>
    <w:p w14:paraId="1FDFB70D"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b/>
          <w:bCs/>
        </w:rPr>
      </w:pPr>
      <w:r w:rsidRPr="00F1555F">
        <w:rPr>
          <w:rFonts w:ascii="Times New Roman" w:hAnsi="Times New Roman" w:cs="Times New Roman"/>
          <w:b/>
          <w:bCs/>
        </w:rPr>
        <w:t>Investment in New Transitional Housing and Supportive Service Only Projects</w:t>
      </w:r>
    </w:p>
    <w:p w14:paraId="5598B587" w14:textId="7949D466"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 xml:space="preserve">CoCs may apply for Transitional Housing and Supportive Service Only projects including street outreach. NOFO provides a set-aside of $1,300,000,000 for new projects with a priority for Transitional Housing and Supportive Service Only projects. CoCs may use the Transition Grant process described in Sec. </w:t>
      </w:r>
      <w:r w:rsidRPr="00F1555F">
        <w:rPr>
          <w:rFonts w:ascii="Times New Roman" w:hAnsi="Times New Roman" w:cs="Times New Roman"/>
        </w:rPr>
        <w:lastRenderedPageBreak/>
        <w:t>II.B.3.k to create new projects. HUD reminds CoCs that individuals living in Permanent Housing may be eligible for Transitional Housing</w:t>
      </w:r>
      <w:r w:rsidR="0029234F">
        <w:rPr>
          <w:rFonts w:ascii="Times New Roman" w:hAnsi="Times New Roman" w:cs="Times New Roman"/>
        </w:rPr>
        <w:t>.</w:t>
      </w:r>
    </w:p>
    <w:p w14:paraId="5E78D2E2"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b/>
          <w:bCs/>
        </w:rPr>
      </w:pPr>
      <w:r w:rsidRPr="00F1555F">
        <w:rPr>
          <w:rFonts w:ascii="Times New Roman" w:hAnsi="Times New Roman" w:cs="Times New Roman"/>
          <w:b/>
          <w:bCs/>
        </w:rPr>
        <w:t>Increase in competition</w:t>
      </w:r>
    </w:p>
    <w:p w14:paraId="5C3F15F2" w14:textId="77777777"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 xml:space="preserve">CoC is a national competition. Tier 1 is set at 60 percent of </w:t>
      </w:r>
      <w:proofErr w:type="gramStart"/>
      <w:r w:rsidRPr="00F1555F">
        <w:rPr>
          <w:rFonts w:ascii="Times New Roman" w:hAnsi="Times New Roman" w:cs="Times New Roman"/>
        </w:rPr>
        <w:t>the CoC's</w:t>
      </w:r>
      <w:proofErr w:type="gramEnd"/>
      <w:r w:rsidRPr="00F1555F">
        <w:rPr>
          <w:rFonts w:ascii="Times New Roman" w:hAnsi="Times New Roman" w:cs="Times New Roman"/>
        </w:rPr>
        <w:t xml:space="preserve"> Annual Renewal Demand (ARD). Additionally, the CoC may use the YHDP Replacement process (which includes YHDP Reallocation) to create new YHDP grants. If significant changes to a renewing YHDP project are needed the YHDP project may replace its current project with a new YHDP Replacement project, that may wholly or in part.</w:t>
      </w:r>
    </w:p>
    <w:p w14:paraId="7B39C9B0"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b/>
          <w:bCs/>
        </w:rPr>
      </w:pPr>
      <w:r w:rsidRPr="00F1555F">
        <w:rPr>
          <w:rFonts w:ascii="Times New Roman" w:hAnsi="Times New Roman" w:cs="Times New Roman"/>
          <w:b/>
          <w:bCs/>
        </w:rPr>
        <w:t>Increase in Equitable Bonus funds</w:t>
      </w:r>
    </w:p>
    <w:p w14:paraId="72FB70E7" w14:textId="77777777"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Due to the increase in competition, CoCs may apply for bonus projects in an amount of up to 15% of the CoC's Final Pro-Rata Need (FPRN).</w:t>
      </w:r>
    </w:p>
    <w:p w14:paraId="33273372"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b/>
          <w:bCs/>
        </w:rPr>
        <w:t>Expanding Eligible DV Bonus Projects to Include Transitional Housing</w:t>
      </w:r>
    </w:p>
    <w:p w14:paraId="01ED7B0D" w14:textId="77777777"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Transitional Housing is an eligible DV Bonus project in this NOFO.</w:t>
      </w:r>
    </w:p>
    <w:p w14:paraId="0E966503"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b/>
          <w:bCs/>
        </w:rPr>
        <w:t>Program Components that are eligible under this NOFO</w:t>
      </w:r>
    </w:p>
    <w:p w14:paraId="3AADDBEA" w14:textId="77777777"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The four components that will be funded through this CoC Program Competition are fully described at 24 CFR 578.37 and include: (a). Transitional Housing; (b). Supportive Services Only; (c). Permanent Housing; and (d). HMIS.</w:t>
      </w:r>
    </w:p>
    <w:p w14:paraId="3ADA76DA"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b/>
          <w:bCs/>
        </w:rPr>
        <w:t>Housing with shared kitchen and bathroom facilities</w:t>
      </w:r>
    </w:p>
    <w:p w14:paraId="6A0E50AD" w14:textId="77777777" w:rsidR="00E51198" w:rsidRPr="00F1555F" w:rsidRDefault="00E51198" w:rsidP="00E51198">
      <w:p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rPr>
        <w:t>Housing leased with CoC program funds, or for which rental assistance payments are made with Continuum of Care program funds, must meet the applicable standards at 24 CFR 982.401 (HQS), and starting on October 1, 2026, 24 CFR 5.703 (NSPIRE). Both HQS and NSPIRE require a bathroom and a kitchen in the unit.</w:t>
      </w:r>
    </w:p>
    <w:p w14:paraId="4239E1A0" w14:textId="77777777" w:rsidR="00E51198" w:rsidRPr="00F1555F" w:rsidRDefault="00E51198" w:rsidP="00A4528C">
      <w:pPr>
        <w:pStyle w:val="ListParagraph"/>
        <w:numPr>
          <w:ilvl w:val="0"/>
          <w:numId w:val="3"/>
        </w:numPr>
        <w:autoSpaceDE w:val="0"/>
        <w:autoSpaceDN w:val="0"/>
        <w:adjustRightInd w:val="0"/>
        <w:spacing w:after="0" w:line="240" w:lineRule="auto"/>
        <w:rPr>
          <w:rFonts w:ascii="Times New Roman" w:hAnsi="Times New Roman" w:cs="Times New Roman"/>
        </w:rPr>
      </w:pPr>
      <w:r w:rsidRPr="00F1555F">
        <w:rPr>
          <w:rFonts w:ascii="Times New Roman" w:hAnsi="Times New Roman" w:cs="Times New Roman"/>
          <w:b/>
          <w:bCs/>
        </w:rPr>
        <w:t>Special CoC NOFO grants and Rural Costs</w:t>
      </w:r>
    </w:p>
    <w:p w14:paraId="41919CBA" w14:textId="77777777" w:rsidR="00E51198" w:rsidRPr="00F1555F" w:rsidRDefault="00E51198" w:rsidP="00E51198">
      <w:pPr>
        <w:pStyle w:val="Default"/>
        <w:rPr>
          <w:rFonts w:ascii="Times New Roman" w:hAnsi="Times New Roman" w:cs="Times New Roman"/>
          <w:sz w:val="22"/>
          <w:szCs w:val="22"/>
        </w:rPr>
      </w:pPr>
      <w:r w:rsidRPr="00F1555F">
        <w:rPr>
          <w:rFonts w:ascii="Times New Roman" w:hAnsi="Times New Roman" w:cs="Times New Roman"/>
          <w:sz w:val="22"/>
          <w:szCs w:val="22"/>
        </w:rPr>
        <w:t>Grants originally awarded funding under the Special NOFO to Address Unsheltered and Rural Homelessness, that are expiring in Calendar year 2027 are eligible to renew under this NOFO. Projects originally awarded under the Rural Set Aside through the Special CoC NOFO Competition that are applying for renewal may only request costs that are eligible under the CoC Program.</w:t>
      </w:r>
    </w:p>
    <w:p w14:paraId="0A36711A" w14:textId="77777777" w:rsidR="00E51198" w:rsidRPr="00F1555F" w:rsidRDefault="00E51198" w:rsidP="00A4528C">
      <w:pPr>
        <w:pStyle w:val="Default"/>
        <w:numPr>
          <w:ilvl w:val="0"/>
          <w:numId w:val="3"/>
        </w:numPr>
        <w:rPr>
          <w:rFonts w:ascii="Times New Roman" w:hAnsi="Times New Roman" w:cs="Times New Roman"/>
          <w:b/>
          <w:bCs/>
          <w:sz w:val="22"/>
          <w:szCs w:val="22"/>
        </w:rPr>
      </w:pPr>
      <w:r w:rsidRPr="00F1555F">
        <w:rPr>
          <w:rFonts w:ascii="Times New Roman" w:hAnsi="Times New Roman" w:cs="Times New Roman"/>
          <w:b/>
          <w:bCs/>
          <w:sz w:val="22"/>
          <w:szCs w:val="22"/>
        </w:rPr>
        <w:t>Reallocation</w:t>
      </w:r>
    </w:p>
    <w:p w14:paraId="6873B393" w14:textId="10F9721A" w:rsidR="00D762C2" w:rsidRPr="00F1555F" w:rsidRDefault="00E51198" w:rsidP="00E51198">
      <w:pPr>
        <w:pStyle w:val="Default"/>
        <w:rPr>
          <w:rFonts w:ascii="Times New Roman" w:hAnsi="Times New Roman" w:cs="Times New Roman"/>
          <w:sz w:val="22"/>
          <w:szCs w:val="22"/>
        </w:rPr>
      </w:pPr>
      <w:r w:rsidRPr="00F1555F">
        <w:rPr>
          <w:rFonts w:ascii="Times New Roman" w:hAnsi="Times New Roman" w:cs="Times New Roman"/>
          <w:sz w:val="22"/>
          <w:szCs w:val="22"/>
        </w:rPr>
        <w:t xml:space="preserve">CoCs may reallocate funding from any eligible renewal grant, including grants that have not previously </w:t>
      </w:r>
      <w:r w:rsidR="00BA71DE" w:rsidRPr="00F1555F">
        <w:rPr>
          <w:rFonts w:ascii="Times New Roman" w:hAnsi="Times New Roman" w:cs="Times New Roman"/>
          <w:sz w:val="22"/>
          <w:szCs w:val="22"/>
        </w:rPr>
        <w:t>been renewed</w:t>
      </w:r>
      <w:r w:rsidRPr="00F1555F">
        <w:rPr>
          <w:rFonts w:ascii="Times New Roman" w:hAnsi="Times New Roman" w:cs="Times New Roman"/>
          <w:sz w:val="22"/>
          <w:szCs w:val="22"/>
        </w:rPr>
        <w:t xml:space="preserve"> under the CoC Program, so long as the project has an executed grant agreement with an expiration date in Calendar Year 2027.</w:t>
      </w:r>
    </w:p>
    <w:p w14:paraId="6CA83842" w14:textId="77777777" w:rsidR="00E51198" w:rsidRPr="00F1555F" w:rsidRDefault="00E51198" w:rsidP="00A4528C">
      <w:pPr>
        <w:pStyle w:val="Default"/>
        <w:numPr>
          <w:ilvl w:val="0"/>
          <w:numId w:val="3"/>
        </w:numPr>
        <w:rPr>
          <w:rFonts w:ascii="Times New Roman" w:hAnsi="Times New Roman" w:cs="Times New Roman"/>
          <w:b/>
          <w:bCs/>
          <w:sz w:val="22"/>
          <w:szCs w:val="22"/>
        </w:rPr>
      </w:pPr>
      <w:r w:rsidRPr="00F1555F">
        <w:rPr>
          <w:rFonts w:ascii="Times New Roman" w:hAnsi="Times New Roman" w:cs="Times New Roman"/>
          <w:b/>
          <w:bCs/>
          <w:sz w:val="22"/>
          <w:szCs w:val="22"/>
        </w:rPr>
        <w:t>Repurposing of YHDP renewals</w:t>
      </w:r>
    </w:p>
    <w:p w14:paraId="1C12CF63" w14:textId="5C010758" w:rsidR="00D762C2" w:rsidRPr="00F1555F" w:rsidRDefault="00E51198" w:rsidP="00E51198">
      <w:pPr>
        <w:pStyle w:val="Default"/>
        <w:rPr>
          <w:rFonts w:ascii="Times New Roman" w:hAnsi="Times New Roman" w:cs="Times New Roman"/>
          <w:sz w:val="22"/>
          <w:szCs w:val="22"/>
        </w:rPr>
      </w:pPr>
      <w:r w:rsidRPr="00F1555F">
        <w:rPr>
          <w:rFonts w:ascii="Times New Roman" w:hAnsi="Times New Roman" w:cs="Times New Roman"/>
          <w:sz w:val="22"/>
          <w:szCs w:val="22"/>
        </w:rPr>
        <w:t>Pursuant to the Consolidated Appropriations Act, 2026, any CoC, in consultation with their youth action board, that determines it no longer has an identified need for funds to renew an eligible YHDP renewal grant under this NOFO shall notify HUD, and HUD shall recapture the YHDP renewal funding and make the recaptured amounts competitively available for a subsequent YHDP and Youth Homelessness System Improvement (YHSI) grants NOFO Competition.</w:t>
      </w:r>
    </w:p>
    <w:p w14:paraId="39BA5798" w14:textId="77777777" w:rsidR="00E51198" w:rsidRPr="00F1555F" w:rsidRDefault="00E51198" w:rsidP="00A4528C">
      <w:pPr>
        <w:pStyle w:val="Default"/>
        <w:numPr>
          <w:ilvl w:val="0"/>
          <w:numId w:val="3"/>
        </w:numPr>
        <w:rPr>
          <w:rFonts w:ascii="Times New Roman" w:hAnsi="Times New Roman" w:cs="Times New Roman"/>
          <w:sz w:val="22"/>
          <w:szCs w:val="22"/>
        </w:rPr>
      </w:pPr>
      <w:r w:rsidRPr="00F1555F">
        <w:rPr>
          <w:rFonts w:ascii="Times New Roman" w:hAnsi="Times New Roman" w:cs="Times New Roman"/>
          <w:b/>
          <w:bCs/>
          <w:sz w:val="22"/>
          <w:szCs w:val="22"/>
        </w:rPr>
        <w:t xml:space="preserve">Preferences for Elderly &amp; Disabled Individuals &amp; Families </w:t>
      </w:r>
    </w:p>
    <w:p w14:paraId="3CBF4619" w14:textId="1F9BA48E" w:rsidR="00E51198" w:rsidRPr="00F1555F" w:rsidRDefault="00E51198" w:rsidP="00E51198">
      <w:pPr>
        <w:pStyle w:val="Default"/>
        <w:rPr>
          <w:rFonts w:ascii="Times New Roman" w:hAnsi="Times New Roman" w:cs="Times New Roman"/>
          <w:sz w:val="22"/>
          <w:szCs w:val="22"/>
        </w:rPr>
      </w:pPr>
      <w:r w:rsidRPr="00F1555F">
        <w:rPr>
          <w:rFonts w:ascii="Times New Roman" w:hAnsi="Times New Roman" w:cs="Times New Roman"/>
          <w:sz w:val="22"/>
          <w:szCs w:val="22"/>
        </w:rPr>
        <w:t xml:space="preserve">Funds awarded under this NOFO and prior CoC Program NOFOs may establish preferences for: </w:t>
      </w:r>
    </w:p>
    <w:p w14:paraId="10F10BCB" w14:textId="77777777" w:rsidR="00E51198" w:rsidRPr="00D762C2" w:rsidRDefault="00E51198" w:rsidP="00A4528C">
      <w:pPr>
        <w:pStyle w:val="Default"/>
        <w:numPr>
          <w:ilvl w:val="0"/>
          <w:numId w:val="4"/>
        </w:numPr>
        <w:rPr>
          <w:rFonts w:ascii="Times New Roman" w:hAnsi="Times New Roman" w:cs="Times New Roman"/>
          <w:sz w:val="22"/>
          <w:szCs w:val="22"/>
        </w:rPr>
      </w:pPr>
      <w:r w:rsidRPr="00D762C2">
        <w:rPr>
          <w:rFonts w:ascii="Times New Roman" w:hAnsi="Times New Roman" w:cs="Times New Roman"/>
          <w:sz w:val="22"/>
          <w:szCs w:val="22"/>
        </w:rPr>
        <w:t xml:space="preserve">Elderly individuals and families. For purposes of establishing preferences under this allowance, HUD is defining elderly as 55 and older. </w:t>
      </w:r>
    </w:p>
    <w:p w14:paraId="59396738" w14:textId="0A5E3501" w:rsidR="00B37C43" w:rsidRPr="00D762C2" w:rsidRDefault="00E51198" w:rsidP="00A4528C">
      <w:pPr>
        <w:pStyle w:val="ListParagraph"/>
        <w:numPr>
          <w:ilvl w:val="0"/>
          <w:numId w:val="4"/>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Disabled individuals or families as defined by section 401(10) of the McKinney-Vento Homeless Assistance Act (42 U.S.C. 11360(10)).</w:t>
      </w:r>
    </w:p>
    <w:p w14:paraId="1DC77A69" w14:textId="77777777" w:rsidR="00B37C43" w:rsidRPr="00644ACF" w:rsidRDefault="00B37C43" w:rsidP="00B37C43">
      <w:pPr>
        <w:pStyle w:val="ListParagraph"/>
        <w:rPr>
          <w:rFonts w:ascii="Times New Roman" w:hAnsi="Times New Roman" w:cs="Times New Roman"/>
        </w:rPr>
      </w:pPr>
    </w:p>
    <w:p w14:paraId="23119710" w14:textId="23611941" w:rsidR="00D762C2" w:rsidRDefault="00D762C2" w:rsidP="005337F5">
      <w:pPr>
        <w:autoSpaceDE w:val="0"/>
        <w:autoSpaceDN w:val="0"/>
        <w:adjustRightInd w:val="0"/>
        <w:spacing w:after="0" w:line="240" w:lineRule="auto"/>
        <w:rPr>
          <w:rFonts w:ascii="Times New Roman" w:hAnsi="Times New Roman" w:cs="Times New Roman"/>
          <w:b/>
          <w:bCs/>
          <w:sz w:val="24"/>
          <w:szCs w:val="24"/>
          <w:u w:val="single"/>
        </w:rPr>
      </w:pPr>
      <w:r w:rsidRPr="008436D9">
        <w:rPr>
          <w:rFonts w:ascii="Times New Roman" w:hAnsi="Times New Roman" w:cs="Times New Roman"/>
          <w:b/>
          <w:bCs/>
          <w:sz w:val="24"/>
          <w:szCs w:val="24"/>
          <w:u w:val="single"/>
        </w:rPr>
        <w:t>HUD Purpose of CoC funds – Goals and Objectives:</w:t>
      </w:r>
    </w:p>
    <w:p w14:paraId="6AC1576C" w14:textId="6EE7A8E1"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"Housing First" has been a profound failure by any measure. Far from ending homelessness as promised, since the policy was first mandated by HUD in 2013.</w:t>
      </w:r>
      <w:r w:rsidR="00C367D8">
        <w:rPr>
          <w:rFonts w:ascii="Times New Roman" w:hAnsi="Times New Roman" w:cs="Times New Roman"/>
        </w:rPr>
        <w:t xml:space="preserve"> </w:t>
      </w:r>
      <w:r w:rsidRPr="00D762C2">
        <w:rPr>
          <w:rFonts w:ascii="Times New Roman" w:hAnsi="Times New Roman" w:cs="Times New Roman"/>
        </w:rPr>
        <w:t>HUD is restoring the CoC program to its original goals of reducing homelessness and</w:t>
      </w:r>
      <w:r w:rsidR="00C367D8">
        <w:rPr>
          <w:rFonts w:ascii="Times New Roman" w:hAnsi="Times New Roman" w:cs="Times New Roman"/>
        </w:rPr>
        <w:t xml:space="preserve"> </w:t>
      </w:r>
      <w:r w:rsidRPr="00D762C2">
        <w:rPr>
          <w:rFonts w:ascii="Times New Roman" w:hAnsi="Times New Roman" w:cs="Times New Roman"/>
        </w:rPr>
        <w:t>optimizing self-sufficiency by focusing on meaningful outcomes, expanding competition,</w:t>
      </w:r>
      <w:r w:rsidR="00C367D8">
        <w:rPr>
          <w:rFonts w:ascii="Times New Roman" w:hAnsi="Times New Roman" w:cs="Times New Roman"/>
        </w:rPr>
        <w:t xml:space="preserve"> </w:t>
      </w:r>
      <w:r w:rsidRPr="00D762C2">
        <w:rPr>
          <w:rFonts w:ascii="Times New Roman" w:hAnsi="Times New Roman" w:cs="Times New Roman"/>
        </w:rPr>
        <w:t>prioritizing treatment, economic independence, and emphasizing law and order.</w:t>
      </w:r>
    </w:p>
    <w:p w14:paraId="5ECC3543"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3D840CDB" w14:textId="2EEF95BF"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b/>
          <w:bCs/>
        </w:rPr>
      </w:pPr>
      <w:r w:rsidRPr="00D762C2">
        <w:rPr>
          <w:rFonts w:ascii="Times New Roman" w:hAnsi="Times New Roman" w:cs="Times New Roman"/>
          <w:b/>
          <w:bCs/>
        </w:rPr>
        <w:t>Improve Outcomes</w:t>
      </w:r>
    </w:p>
    <w:p w14:paraId="0DEE11D1"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lastRenderedPageBreak/>
        <w:t xml:space="preserve">This NOFO incentivizes outcomes consistent with the purposes of the CoC program including optimizing self-sufficiency, reducing homelessness, and minimizing the trauma caused to communities </w:t>
      </w:r>
      <w:proofErr w:type="gramStart"/>
      <w:r w:rsidRPr="00D762C2">
        <w:rPr>
          <w:rFonts w:ascii="Times New Roman" w:hAnsi="Times New Roman" w:cs="Times New Roman"/>
        </w:rPr>
        <w:t>as a whole by</w:t>
      </w:r>
      <w:proofErr w:type="gramEnd"/>
      <w:r w:rsidRPr="00D762C2">
        <w:rPr>
          <w:rFonts w:ascii="Times New Roman" w:hAnsi="Times New Roman" w:cs="Times New Roman"/>
        </w:rPr>
        <w:t xml:space="preserve"> homelessness. CoC’s should prioritize projects that promote self-sufficiency, increase employment income over government assistance, and promote treatment and recovery.</w:t>
      </w:r>
    </w:p>
    <w:p w14:paraId="012E33C1"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This NOFO includes several options to help CoCs improve their effectiveness, including</w:t>
      </w:r>
    </w:p>
    <w:p w14:paraId="3D1C9CC7" w14:textId="64FE7209"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reallocation, expansion, and transition grants, and CoC's should take advantage of these options to expand the pool of successful providers, including faith-based providers, and improve the overall performance of the CoC. This NOFO also makes a significant investment in Transitional Housing and Supportive Service Only projects to ensure that those who can recover and achieve self-sufficiency have the support to do so.</w:t>
      </w:r>
    </w:p>
    <w:p w14:paraId="00D23413"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0DB75EBB" w14:textId="77777777"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b/>
          <w:bCs/>
        </w:rPr>
      </w:pPr>
      <w:r w:rsidRPr="00D762C2">
        <w:rPr>
          <w:rFonts w:ascii="Times New Roman" w:hAnsi="Times New Roman" w:cs="Times New Roman"/>
          <w:b/>
          <w:bCs/>
        </w:rPr>
        <w:t>Creating Competition to Improve Innovation and Accountability</w:t>
      </w:r>
    </w:p>
    <w:p w14:paraId="4A6C3FF2" w14:textId="2CD595BE"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 xml:space="preserve">Competition drives outcomes, effectiveness, innovation, and accountability. Consistent with the FY26 appropriation bill, HUD is setting Tier 1 at 60% and competing 40% of CoC ARD </w:t>
      </w:r>
      <w:r w:rsidR="009F5535" w:rsidRPr="00D762C2">
        <w:rPr>
          <w:rFonts w:ascii="Times New Roman" w:hAnsi="Times New Roman" w:cs="Times New Roman"/>
        </w:rPr>
        <w:t>based on</w:t>
      </w:r>
      <w:r w:rsidRPr="00D762C2">
        <w:rPr>
          <w:rFonts w:ascii="Times New Roman" w:hAnsi="Times New Roman" w:cs="Times New Roman"/>
        </w:rPr>
        <w:t xml:space="preserve"> merit between geographic areas. Increased competition brings the CoC Program back to its original intent as a competitive program, not an entitlement program or block grant.</w:t>
      </w:r>
      <w:r w:rsidR="00CC28ED" w:rsidRPr="00D762C2">
        <w:rPr>
          <w:rFonts w:ascii="Times New Roman" w:hAnsi="Times New Roman" w:cs="Times New Roman"/>
        </w:rPr>
        <w:t xml:space="preserve"> </w:t>
      </w:r>
      <w:r w:rsidRPr="00D762C2">
        <w:rPr>
          <w:rFonts w:ascii="Times New Roman" w:hAnsi="Times New Roman" w:cs="Times New Roman"/>
        </w:rPr>
        <w:t>Competition ensures that CoCs consistently evaluate the effectiveness of their projects and invest in new projects that deliver the best results at reducing homelessness and optimizing self-sufficiency.</w:t>
      </w:r>
    </w:p>
    <w:p w14:paraId="1344D4B5"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35DE161C" w14:textId="248F77B1"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b/>
          <w:bCs/>
        </w:rPr>
        <w:t>Restoring Balance to the Continuum of Care</w:t>
      </w:r>
    </w:p>
    <w:p w14:paraId="2402F8EE"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The CoC program has four project components for all CoCs: Permanent Housing, Transitional Housing, Supportive Service Only, and HMIS. This NOFO provides opportunities to restore a healthy balance of CoC-funded projects to further community-wide efforts to reduce homelessness. To the extent permitted by law, HUD is shifting its focus from awarding nearly 90% of CoC funding to Permanent Housing to expand opportunities for other components of the CoC Program.</w:t>
      </w:r>
    </w:p>
    <w:p w14:paraId="21148440"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2B225129" w14:textId="77777777"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b/>
          <w:bCs/>
        </w:rPr>
      </w:pPr>
      <w:r w:rsidRPr="00D762C2">
        <w:rPr>
          <w:rFonts w:ascii="Times New Roman" w:hAnsi="Times New Roman" w:cs="Times New Roman"/>
          <w:b/>
          <w:bCs/>
        </w:rPr>
        <w:t xml:space="preserve">Prioritizing Treatment and Recovery </w:t>
      </w:r>
      <w:proofErr w:type="gramStart"/>
      <w:r w:rsidRPr="00D762C2">
        <w:rPr>
          <w:rFonts w:ascii="Times New Roman" w:hAnsi="Times New Roman" w:cs="Times New Roman"/>
          <w:b/>
          <w:bCs/>
        </w:rPr>
        <w:t>as a Means to</w:t>
      </w:r>
      <w:proofErr w:type="gramEnd"/>
      <w:r w:rsidRPr="00D762C2">
        <w:rPr>
          <w:rFonts w:ascii="Times New Roman" w:hAnsi="Times New Roman" w:cs="Times New Roman"/>
          <w:b/>
          <w:bCs/>
        </w:rPr>
        <w:t xml:space="preserve"> Self-Sufficiency</w:t>
      </w:r>
    </w:p>
    <w:p w14:paraId="5E90576D" w14:textId="271E6D55"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 xml:space="preserve">This NOFO provides communities opportunities to invest in treatment services and recovery </w:t>
      </w:r>
      <w:r w:rsidR="009F5535" w:rsidRPr="00D762C2">
        <w:rPr>
          <w:rFonts w:ascii="Times New Roman" w:hAnsi="Times New Roman" w:cs="Times New Roman"/>
        </w:rPr>
        <w:t>housing and</w:t>
      </w:r>
      <w:r w:rsidRPr="00D762C2">
        <w:rPr>
          <w:rFonts w:ascii="Times New Roman" w:hAnsi="Times New Roman" w:cs="Times New Roman"/>
        </w:rPr>
        <w:t xml:space="preserve"> ensures that recipients do not distribute drug paraphernalia or knowingly permit the use and distribution of fatal, illicit drugs on their properties. CoCs should prioritize projects that provide the treatment and services people need to recover and regain self-sufficiency including on-site behavioral health treatment, robust wraparound supportive services, and participation requirements. The NOFO encourages investment in treatment-focused beds, recovery housing, and partnership with community behavioral healthcare providers, drug courts, and other addiction and severe mental illness treatment providers.</w:t>
      </w:r>
    </w:p>
    <w:p w14:paraId="6276E004"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057CD71E" w14:textId="38508F10"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b/>
          <w:bCs/>
        </w:rPr>
        <w:t>Promoting Economic Self-Sufficiency</w:t>
      </w:r>
    </w:p>
    <w:p w14:paraId="21554F53"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One of the primary purposes of the CoC Program, as outlined in 42 U.S.C. § 11381, is to optimize self-sufficiency. In fact, self-sufficiency is one of only four purposes Congress provided for the CoC Program. CoCs should partner with workforce development centers, employers, childcare, and other supportive service providers to increase employment and employment income for program participants. CoCs should prioritize projects that help lead to long-term economic independence for individuals and families to exit homelessness to unsubsidized housing and prevent future returns to homelessness. One way to advance both recovery and self-sufficiency is through supportive service participation requirements. Service participation requirements have been successfully employed in most federal social service programs and were integral to the welfare policy reforms enacted under President Clinton in 1996.</w:t>
      </w:r>
    </w:p>
    <w:p w14:paraId="60D0EA2F"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p>
    <w:p w14:paraId="49B4EE68" w14:textId="77777777"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b/>
          <w:bCs/>
        </w:rPr>
        <w:t>Advancing Public Safety for All</w:t>
      </w:r>
    </w:p>
    <w:p w14:paraId="1867B649" w14:textId="23D905D7" w:rsidR="00A5291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 xml:space="preserve">Safety and security for all members of the public, especially those living on the streets and in encampments, is essential to promoting a community-wide commitment to the goal of ending homelessness and minimizing trauma to individuals, families, and communities. CoCs should cooperate with law enforcement to advance public safety for the entire community impacted by homelessness. No one should sleep outside on the street or in dangerous encampments, and everyone should be able to enjoy </w:t>
      </w:r>
      <w:r w:rsidRPr="00D762C2">
        <w:rPr>
          <w:rFonts w:ascii="Times New Roman" w:hAnsi="Times New Roman" w:cs="Times New Roman"/>
        </w:rPr>
        <w:lastRenderedPageBreak/>
        <w:t>public spaces safely. HUD encourages CoCs to assist in preventing and minimizing the trauma associated with living on the streets or in encampments, especially for women and youth that are the victims of sexual assault and trafficking.</w:t>
      </w:r>
      <w:r w:rsidR="00D762C2">
        <w:rPr>
          <w:rFonts w:ascii="Times New Roman" w:hAnsi="Times New Roman" w:cs="Times New Roman"/>
        </w:rPr>
        <w:t xml:space="preserve"> </w:t>
      </w:r>
      <w:r w:rsidRPr="00D762C2">
        <w:rPr>
          <w:rFonts w:ascii="Times New Roman" w:hAnsi="Times New Roman" w:cs="Times New Roman"/>
        </w:rPr>
        <w:t xml:space="preserve">Advancing public safety policies </w:t>
      </w:r>
      <w:r w:rsidR="009F5535" w:rsidRPr="00D762C2">
        <w:rPr>
          <w:rFonts w:ascii="Times New Roman" w:hAnsi="Times New Roman" w:cs="Times New Roman"/>
        </w:rPr>
        <w:t>have</w:t>
      </w:r>
      <w:r w:rsidRPr="00D762C2">
        <w:rPr>
          <w:rFonts w:ascii="Times New Roman" w:hAnsi="Times New Roman" w:cs="Times New Roman"/>
        </w:rPr>
        <w:t xml:space="preserve"> been shown to decrease homelessness. First responders and law enforcement are often the first to encounter our most vulnerable members of society and should be aware of the available services to triage individuals into safe and appropriate services, ideally alongside non-law enforcement service providers in the Continuum of Care. CoCs should work with law enforcement, first responders, and their state</w:t>
      </w:r>
      <w:r w:rsidR="009F5535">
        <w:rPr>
          <w:rFonts w:ascii="Times New Roman" w:hAnsi="Times New Roman" w:cs="Times New Roman"/>
        </w:rPr>
        <w:t xml:space="preserve"> </w:t>
      </w:r>
      <w:r w:rsidRPr="00D762C2">
        <w:rPr>
          <w:rFonts w:ascii="Times New Roman" w:hAnsi="Times New Roman" w:cs="Times New Roman"/>
        </w:rPr>
        <w:t xml:space="preserve">and local governments to reduce encampments, public camping, and public drug use </w:t>
      </w:r>
      <w:r w:rsidR="009F5535" w:rsidRPr="00D762C2">
        <w:rPr>
          <w:rFonts w:ascii="Times New Roman" w:hAnsi="Times New Roman" w:cs="Times New Roman"/>
        </w:rPr>
        <w:t>to</w:t>
      </w:r>
      <w:r w:rsidRPr="00D762C2">
        <w:rPr>
          <w:rFonts w:ascii="Times New Roman" w:hAnsi="Times New Roman" w:cs="Times New Roman"/>
        </w:rPr>
        <w:t xml:space="preserve"> address barriers to maintaining housing and increasing self-sufficiency.</w:t>
      </w:r>
    </w:p>
    <w:p w14:paraId="4504772B" w14:textId="77777777" w:rsidR="00D762C2" w:rsidRPr="00D762C2" w:rsidRDefault="00D762C2" w:rsidP="00A52912">
      <w:pPr>
        <w:autoSpaceDE w:val="0"/>
        <w:autoSpaceDN w:val="0"/>
        <w:adjustRightInd w:val="0"/>
        <w:spacing w:after="0" w:line="240" w:lineRule="auto"/>
        <w:rPr>
          <w:rFonts w:ascii="Times New Roman" w:hAnsi="Times New Roman" w:cs="Times New Roman"/>
        </w:rPr>
      </w:pPr>
    </w:p>
    <w:p w14:paraId="5DC8C4B1" w14:textId="77777777"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b/>
          <w:bCs/>
        </w:rPr>
        <w:t>Minimizing Trauma for Vulnerable Populations</w:t>
      </w:r>
    </w:p>
    <w:p w14:paraId="69D60526" w14:textId="575C949F" w:rsidR="00A5291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CoCs should encourage providers to provide trauma informed care and ensure participant safety in programs, especially for youth and survivors of domestic violence, dating violence, sexual assault, and stalking</w:t>
      </w:r>
      <w:r w:rsidR="00D762C2">
        <w:rPr>
          <w:rFonts w:ascii="Times New Roman" w:hAnsi="Times New Roman" w:cs="Times New Roman"/>
        </w:rPr>
        <w:t>.</w:t>
      </w:r>
    </w:p>
    <w:p w14:paraId="46C56ADC" w14:textId="77777777" w:rsidR="00D762C2" w:rsidRPr="00D762C2" w:rsidRDefault="00D762C2" w:rsidP="00A52912">
      <w:pPr>
        <w:autoSpaceDE w:val="0"/>
        <w:autoSpaceDN w:val="0"/>
        <w:adjustRightInd w:val="0"/>
        <w:spacing w:after="0" w:line="240" w:lineRule="auto"/>
        <w:rPr>
          <w:rFonts w:ascii="Times New Roman" w:hAnsi="Times New Roman" w:cs="Times New Roman"/>
        </w:rPr>
      </w:pPr>
    </w:p>
    <w:p w14:paraId="529084F4" w14:textId="77777777" w:rsidR="00A52912" w:rsidRPr="00D762C2" w:rsidRDefault="00A52912" w:rsidP="00A4528C">
      <w:pPr>
        <w:pStyle w:val="ListParagraph"/>
        <w:numPr>
          <w:ilvl w:val="0"/>
          <w:numId w:val="5"/>
        </w:num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b/>
          <w:bCs/>
        </w:rPr>
        <w:t>Expanding Access Based on Merit, and Not Ideology</w:t>
      </w:r>
    </w:p>
    <w:p w14:paraId="0D49720A" w14:textId="77777777" w:rsidR="00A52912" w:rsidRPr="00D762C2" w:rsidRDefault="00A52912" w:rsidP="00A52912">
      <w:pPr>
        <w:autoSpaceDE w:val="0"/>
        <w:autoSpaceDN w:val="0"/>
        <w:adjustRightInd w:val="0"/>
        <w:spacing w:after="0" w:line="240" w:lineRule="auto"/>
        <w:rPr>
          <w:rFonts w:ascii="Times New Roman" w:hAnsi="Times New Roman" w:cs="Times New Roman"/>
        </w:rPr>
      </w:pPr>
      <w:r w:rsidRPr="00D762C2">
        <w:rPr>
          <w:rFonts w:ascii="Times New Roman" w:hAnsi="Times New Roman" w:cs="Times New Roman"/>
        </w:rPr>
        <w:t xml:space="preserve">HUD is committed to providing an equal opportunity to every applicant, recipient, and program participant free from discrimination. To that end, this NOFO prohibits the use of federal funds being used for any type of racial preferences, even under the guise of "diversity, equity, and inclusion." HUD wants to increase access to homelessness relief for </w:t>
      </w:r>
      <w:r w:rsidRPr="00D762C2">
        <w:rPr>
          <w:rFonts w:ascii="Times New Roman" w:hAnsi="Times New Roman" w:cs="Times New Roman"/>
          <w:i/>
          <w:iCs/>
        </w:rPr>
        <w:t xml:space="preserve">all </w:t>
      </w:r>
      <w:r w:rsidRPr="00D762C2">
        <w:rPr>
          <w:rFonts w:ascii="Times New Roman" w:hAnsi="Times New Roman" w:cs="Times New Roman"/>
        </w:rPr>
        <w:t>individuals and families.</w:t>
      </w:r>
    </w:p>
    <w:p w14:paraId="0AC3A4B5" w14:textId="77777777" w:rsidR="00B97E85" w:rsidRDefault="00B97E85" w:rsidP="00DB1DB1">
      <w:pPr>
        <w:autoSpaceDE w:val="0"/>
        <w:autoSpaceDN w:val="0"/>
        <w:adjustRightInd w:val="0"/>
        <w:spacing w:after="0" w:line="240" w:lineRule="auto"/>
        <w:rPr>
          <w:rFonts w:ascii="Times New Roman" w:hAnsi="Times New Roman" w:cs="Times New Roman"/>
        </w:rPr>
      </w:pPr>
    </w:p>
    <w:p w14:paraId="5E922451" w14:textId="5681CDE2" w:rsidR="001F2BF7" w:rsidRPr="001A0044" w:rsidRDefault="001F2BF7" w:rsidP="001F2BF7">
      <w:pPr>
        <w:rPr>
          <w:rFonts w:ascii="Times New Roman" w:hAnsi="Times New Roman" w:cs="Times New Roman"/>
          <w:b/>
          <w:bCs/>
          <w:sz w:val="24"/>
          <w:szCs w:val="24"/>
          <w:u w:val="single"/>
        </w:rPr>
      </w:pPr>
      <w:r w:rsidRPr="001A0044">
        <w:rPr>
          <w:rFonts w:ascii="Times New Roman" w:hAnsi="Times New Roman" w:cs="Times New Roman"/>
          <w:b/>
          <w:bCs/>
          <w:sz w:val="24"/>
          <w:szCs w:val="24"/>
          <w:u w:val="single"/>
        </w:rPr>
        <w:t xml:space="preserve">Important information to consider when preparing for the </w:t>
      </w:r>
      <w:r w:rsidR="004F53F0" w:rsidRPr="001A0044">
        <w:rPr>
          <w:rFonts w:ascii="Times New Roman" w:hAnsi="Times New Roman" w:cs="Times New Roman"/>
          <w:b/>
          <w:bCs/>
          <w:sz w:val="24"/>
          <w:szCs w:val="24"/>
          <w:u w:val="single"/>
        </w:rPr>
        <w:t>FY2026</w:t>
      </w:r>
      <w:r w:rsidRPr="001A0044">
        <w:rPr>
          <w:rFonts w:ascii="Times New Roman" w:hAnsi="Times New Roman" w:cs="Times New Roman"/>
          <w:b/>
          <w:bCs/>
          <w:sz w:val="24"/>
          <w:szCs w:val="24"/>
          <w:u w:val="single"/>
        </w:rPr>
        <w:t xml:space="preserve"> NOFO: </w:t>
      </w:r>
    </w:p>
    <w:p w14:paraId="19C7AF8B" w14:textId="77777777" w:rsidR="009A7465" w:rsidRPr="00DD0C31" w:rsidRDefault="009A7465" w:rsidP="009A7465">
      <w:pPr>
        <w:rPr>
          <w:rFonts w:ascii="Times New Roman" w:hAnsi="Times New Roman" w:cs="Times New Roman"/>
          <w:b/>
          <w:bCs/>
          <w:i/>
          <w:iCs/>
        </w:rPr>
      </w:pPr>
      <w:r w:rsidRPr="00DD0C31">
        <w:rPr>
          <w:rFonts w:ascii="Times New Roman" w:hAnsi="Times New Roman" w:cs="Times New Roman"/>
          <w:b/>
          <w:bCs/>
          <w:i/>
          <w:iCs/>
        </w:rPr>
        <w:t>New Projects Created with CoC Bonus or Through the CoC Reallocation process</w:t>
      </w:r>
    </w:p>
    <w:p w14:paraId="1CA61FC5" w14:textId="77777777" w:rsidR="009A7465" w:rsidRPr="00DD0C31" w:rsidRDefault="009A7465" w:rsidP="00A4528C">
      <w:pPr>
        <w:pStyle w:val="ListParagraph"/>
        <w:numPr>
          <w:ilvl w:val="0"/>
          <w:numId w:val="6"/>
        </w:numPr>
        <w:spacing w:line="278" w:lineRule="auto"/>
        <w:rPr>
          <w:rFonts w:ascii="Times New Roman" w:hAnsi="Times New Roman" w:cs="Times New Roman"/>
        </w:rPr>
      </w:pPr>
      <w:r w:rsidRPr="00DD0C31">
        <w:rPr>
          <w:rFonts w:ascii="Times New Roman" w:hAnsi="Times New Roman" w:cs="Times New Roman"/>
        </w:rPr>
        <w:t>Transitional Housing</w:t>
      </w:r>
    </w:p>
    <w:p w14:paraId="2C1D8BDB" w14:textId="77777777" w:rsidR="009A7465" w:rsidRPr="00DD0C31" w:rsidRDefault="009A7465" w:rsidP="00A4528C">
      <w:pPr>
        <w:pStyle w:val="ListParagraph"/>
        <w:numPr>
          <w:ilvl w:val="0"/>
          <w:numId w:val="6"/>
        </w:numPr>
        <w:spacing w:line="278" w:lineRule="auto"/>
        <w:rPr>
          <w:rFonts w:ascii="Times New Roman" w:hAnsi="Times New Roman" w:cs="Times New Roman"/>
        </w:rPr>
      </w:pPr>
      <w:r w:rsidRPr="00DD0C31">
        <w:rPr>
          <w:rFonts w:ascii="Times New Roman" w:hAnsi="Times New Roman" w:cs="Times New Roman"/>
        </w:rPr>
        <w:t>SSO (Stand Alone, Street Outreach, CES)</w:t>
      </w:r>
    </w:p>
    <w:p w14:paraId="048B0862" w14:textId="77777777" w:rsidR="009A7465" w:rsidRPr="00DD0C31" w:rsidRDefault="009A7465" w:rsidP="00A4528C">
      <w:pPr>
        <w:pStyle w:val="ListParagraph"/>
        <w:numPr>
          <w:ilvl w:val="0"/>
          <w:numId w:val="6"/>
        </w:numPr>
        <w:spacing w:line="278" w:lineRule="auto"/>
        <w:rPr>
          <w:rFonts w:ascii="Times New Roman" w:hAnsi="Times New Roman" w:cs="Times New Roman"/>
        </w:rPr>
      </w:pPr>
      <w:r w:rsidRPr="00DD0C31">
        <w:rPr>
          <w:rFonts w:ascii="Times New Roman" w:hAnsi="Times New Roman" w:cs="Times New Roman"/>
        </w:rPr>
        <w:t>PH – PSH</w:t>
      </w:r>
    </w:p>
    <w:p w14:paraId="64CD5770" w14:textId="77777777" w:rsidR="009A7465" w:rsidRPr="00DD0C31" w:rsidRDefault="009A7465" w:rsidP="00A4528C">
      <w:pPr>
        <w:pStyle w:val="ListParagraph"/>
        <w:numPr>
          <w:ilvl w:val="0"/>
          <w:numId w:val="6"/>
        </w:numPr>
        <w:spacing w:line="278" w:lineRule="auto"/>
        <w:rPr>
          <w:rFonts w:ascii="Times New Roman" w:hAnsi="Times New Roman" w:cs="Times New Roman"/>
        </w:rPr>
      </w:pPr>
      <w:r w:rsidRPr="00DD0C31">
        <w:rPr>
          <w:rFonts w:ascii="Times New Roman" w:hAnsi="Times New Roman" w:cs="Times New Roman"/>
        </w:rPr>
        <w:t>PH – RRH</w:t>
      </w:r>
    </w:p>
    <w:p w14:paraId="34A05A9A" w14:textId="77777777" w:rsidR="009A7465" w:rsidRPr="00DD0C31" w:rsidRDefault="009A7465" w:rsidP="00A4528C">
      <w:pPr>
        <w:pStyle w:val="ListParagraph"/>
        <w:numPr>
          <w:ilvl w:val="0"/>
          <w:numId w:val="6"/>
        </w:numPr>
        <w:spacing w:line="278" w:lineRule="auto"/>
        <w:rPr>
          <w:rFonts w:ascii="Times New Roman" w:hAnsi="Times New Roman" w:cs="Times New Roman"/>
        </w:rPr>
      </w:pPr>
      <w:r w:rsidRPr="00DD0C31">
        <w:rPr>
          <w:rFonts w:ascii="Times New Roman" w:hAnsi="Times New Roman" w:cs="Times New Roman"/>
        </w:rPr>
        <w:t>HMIS</w:t>
      </w:r>
    </w:p>
    <w:p w14:paraId="06C0838A"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b/>
          <w:bCs/>
        </w:rPr>
        <w:t>Transition Grant</w:t>
      </w:r>
      <w:r w:rsidRPr="00DD0C31">
        <w:rPr>
          <w:rFonts w:ascii="Times New Roman" w:hAnsi="Times New Roman" w:cs="Times New Roman"/>
        </w:rPr>
        <w:t xml:space="preserve"> - Transition grant is an application to fund a new CoC project</w:t>
      </w:r>
    </w:p>
    <w:p w14:paraId="22830473"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rPr>
        <w:t>through the reallocation process to transition eligible CoC renewal project(s) (including a</w:t>
      </w:r>
    </w:p>
    <w:p w14:paraId="174E75EA"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rPr>
        <w:t>Special NOFO project or DV Renewal project) from one program component to another</w:t>
      </w:r>
    </w:p>
    <w:p w14:paraId="380E4615"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rPr>
        <w:t>eligible component over a 1-year period. Transition grant applications awarded FY 2026</w:t>
      </w:r>
    </w:p>
    <w:p w14:paraId="16A376B0"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rPr>
        <w:t>funds must fully transition to the new component by the end of the 1-year grant term and may only apply for renewal in the next CoC Program Competition under the component to which it transitioned.</w:t>
      </w:r>
    </w:p>
    <w:p w14:paraId="180CF65C" w14:textId="77777777" w:rsidR="009A7465" w:rsidRPr="00DD0C31" w:rsidRDefault="009A7465" w:rsidP="009A7465">
      <w:pPr>
        <w:rPr>
          <w:rFonts w:ascii="Times New Roman" w:hAnsi="Times New Roman" w:cs="Times New Roman"/>
        </w:rPr>
      </w:pPr>
      <w:r w:rsidRPr="00DD0C31">
        <w:rPr>
          <w:rFonts w:ascii="Times New Roman" w:hAnsi="Times New Roman" w:cs="Times New Roman"/>
        </w:rPr>
        <w:t>YHDP Renewal grants are not eligible to use the transition grant process. YHDP Renewal grants must submit a YHDP Replacement application to change component types.</w:t>
      </w:r>
    </w:p>
    <w:p w14:paraId="4453F8A5" w14:textId="77777777" w:rsidR="009A7465" w:rsidRPr="00DD0C31" w:rsidRDefault="009A7465" w:rsidP="009A7465">
      <w:pPr>
        <w:autoSpaceDE w:val="0"/>
        <w:autoSpaceDN w:val="0"/>
        <w:adjustRightInd w:val="0"/>
        <w:spacing w:after="0" w:line="240" w:lineRule="auto"/>
        <w:rPr>
          <w:rFonts w:ascii="Times New Roman" w:hAnsi="Times New Roman" w:cs="Times New Roman"/>
        </w:rPr>
      </w:pPr>
      <w:r w:rsidRPr="00DD0C31">
        <w:rPr>
          <w:rFonts w:ascii="Times New Roman" w:hAnsi="Times New Roman" w:cs="Times New Roman"/>
        </w:rPr>
        <w:t>Eligible for Renewal Grants if they are currently operating and have an expiration date in CY 2027 (the period from January 1, 2027, through December 31, 2027).</w:t>
      </w:r>
    </w:p>
    <w:p w14:paraId="31F4DCCF" w14:textId="77777777" w:rsidR="009A7465" w:rsidRDefault="009A7465" w:rsidP="001F2BF7">
      <w:pPr>
        <w:rPr>
          <w:rFonts w:ascii="Times New Roman" w:hAnsi="Times New Roman" w:cs="Times New Roman"/>
          <w:b/>
          <w:bCs/>
          <w:color w:val="000000"/>
        </w:rPr>
      </w:pPr>
    </w:p>
    <w:p w14:paraId="55D8D92F" w14:textId="4A4E1E7F" w:rsidR="00BB4850" w:rsidRPr="00A648DE" w:rsidRDefault="00BB4850" w:rsidP="001F2BF7">
      <w:pPr>
        <w:rPr>
          <w:rFonts w:ascii="Times New Roman" w:hAnsi="Times New Roman" w:cs="Times New Roman"/>
          <w:b/>
          <w:bCs/>
          <w:u w:val="single"/>
        </w:rPr>
      </w:pPr>
      <w:r w:rsidRPr="009F5535">
        <w:rPr>
          <w:rFonts w:ascii="Times New Roman" w:hAnsi="Times New Roman" w:cs="Times New Roman"/>
          <w:b/>
          <w:bCs/>
          <w:color w:val="000000"/>
        </w:rPr>
        <w:t>Project applicants must certify affirmatively to the following</w:t>
      </w:r>
      <w:r w:rsidR="00A648DE" w:rsidRPr="00A648DE">
        <w:rPr>
          <w:rFonts w:ascii="Times New Roman" w:hAnsi="Times New Roman" w:cs="Times New Roman"/>
          <w:color w:val="000000"/>
        </w:rPr>
        <w:t xml:space="preserve"> (page 60)</w:t>
      </w:r>
    </w:p>
    <w:tbl>
      <w:tblPr>
        <w:tblW w:w="964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48"/>
      </w:tblGrid>
      <w:tr w:rsidR="00BB4850" w:rsidRPr="00BB4850" w14:paraId="52D43826" w14:textId="77777777" w:rsidTr="00BB4850">
        <w:trPr>
          <w:trHeight w:val="301"/>
        </w:trPr>
        <w:tc>
          <w:tcPr>
            <w:tcW w:w="9648" w:type="dxa"/>
            <w:tcBorders>
              <w:top w:val="none" w:sz="6" w:space="0" w:color="auto"/>
              <w:bottom w:val="none" w:sz="6" w:space="0" w:color="auto"/>
            </w:tcBorders>
          </w:tcPr>
          <w:p w14:paraId="353F2752" w14:textId="0FBBFF5E" w:rsidR="00BB4850" w:rsidRPr="00BB4850" w:rsidRDefault="00BB4850" w:rsidP="00BB4850">
            <w:pPr>
              <w:autoSpaceDE w:val="0"/>
              <w:autoSpaceDN w:val="0"/>
              <w:adjustRightInd w:val="0"/>
              <w:spacing w:after="0" w:line="240" w:lineRule="auto"/>
              <w:rPr>
                <w:rFonts w:ascii="Times New Roman" w:hAnsi="Times New Roman" w:cs="Times New Roman"/>
                <w:color w:val="000000"/>
              </w:rPr>
            </w:pPr>
            <w:r w:rsidRPr="00BB4850">
              <w:rPr>
                <w:rFonts w:ascii="Times New Roman" w:hAnsi="Times New Roman" w:cs="Times New Roman"/>
                <w:color w:val="000000"/>
              </w:rPr>
              <w:t xml:space="preserve">The project applicant will not engage in illegal racial discrimination. This is consistent with the requirements of 2 CFR 200.300(a). </w:t>
            </w:r>
          </w:p>
        </w:tc>
      </w:tr>
      <w:tr w:rsidR="00BB4850" w:rsidRPr="00BB4850" w14:paraId="4F058FEA" w14:textId="77777777" w:rsidTr="00BB4850">
        <w:trPr>
          <w:trHeight w:val="1741"/>
        </w:trPr>
        <w:tc>
          <w:tcPr>
            <w:tcW w:w="9648" w:type="dxa"/>
            <w:tcBorders>
              <w:top w:val="none" w:sz="6" w:space="0" w:color="auto"/>
              <w:bottom w:val="none" w:sz="6" w:space="0" w:color="auto"/>
            </w:tcBorders>
          </w:tcPr>
          <w:p w14:paraId="327AEEF6" w14:textId="77777777" w:rsidR="00BB4850" w:rsidRPr="00BB4850" w:rsidRDefault="00BB4850" w:rsidP="00BB4850">
            <w:pPr>
              <w:autoSpaceDE w:val="0"/>
              <w:autoSpaceDN w:val="0"/>
              <w:adjustRightInd w:val="0"/>
              <w:spacing w:after="0" w:line="240" w:lineRule="auto"/>
              <w:rPr>
                <w:rFonts w:ascii="Times New Roman" w:hAnsi="Times New Roman" w:cs="Times New Roman"/>
                <w:color w:val="000000"/>
              </w:rPr>
            </w:pPr>
            <w:r w:rsidRPr="00BB4850">
              <w:rPr>
                <w:rFonts w:ascii="Times New Roman" w:hAnsi="Times New Roman" w:cs="Times New Roman"/>
                <w:color w:val="000000"/>
              </w:rPr>
              <w:lastRenderedPageBreak/>
              <w:t xml:space="preserve">The project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above and is consistent with the requirements of 2 CFR 200.300(a). </w:t>
            </w:r>
          </w:p>
          <w:p w14:paraId="312E0F16" w14:textId="77777777" w:rsidR="00BB4850" w:rsidRPr="00BB4850" w:rsidRDefault="00BB4850" w:rsidP="00BB4850">
            <w:pPr>
              <w:autoSpaceDE w:val="0"/>
              <w:autoSpaceDN w:val="0"/>
              <w:adjustRightInd w:val="0"/>
              <w:spacing w:after="0" w:line="240" w:lineRule="auto"/>
              <w:rPr>
                <w:rFonts w:ascii="Times New Roman" w:hAnsi="Times New Roman" w:cs="Times New Roman"/>
                <w:color w:val="000000"/>
              </w:rPr>
            </w:pPr>
            <w:r w:rsidRPr="00BB4850">
              <w:rPr>
                <w:rFonts w:ascii="Times New Roman" w:hAnsi="Times New Roman" w:cs="Times New Roman"/>
                <w:color w:val="000000"/>
              </w:rPr>
              <w:t xml:space="preserve">This certification is not a requirement that program participants must be sober </w:t>
            </w:r>
            <w:proofErr w:type="gramStart"/>
            <w:r w:rsidRPr="00BB4850">
              <w:rPr>
                <w:rFonts w:ascii="Times New Roman" w:hAnsi="Times New Roman" w:cs="Times New Roman"/>
                <w:color w:val="000000"/>
              </w:rPr>
              <w:t>in order to</w:t>
            </w:r>
            <w:proofErr w:type="gramEnd"/>
            <w:r w:rsidRPr="00BB4850">
              <w:rPr>
                <w:rFonts w:ascii="Times New Roman" w:hAnsi="Times New Roman" w:cs="Times New Roman"/>
                <w:color w:val="000000"/>
              </w:rPr>
              <w:t xml:space="preserve"> receive assistance, participate in treatment </w:t>
            </w:r>
            <w:proofErr w:type="gramStart"/>
            <w:r w:rsidRPr="00BB4850">
              <w:rPr>
                <w:rFonts w:ascii="Times New Roman" w:hAnsi="Times New Roman" w:cs="Times New Roman"/>
                <w:color w:val="000000"/>
              </w:rPr>
              <w:t>in order to</w:t>
            </w:r>
            <w:proofErr w:type="gramEnd"/>
            <w:r w:rsidRPr="00BB4850">
              <w:rPr>
                <w:rFonts w:ascii="Times New Roman" w:hAnsi="Times New Roman" w:cs="Times New Roman"/>
                <w:color w:val="000000"/>
              </w:rPr>
              <w:t xml:space="preserve"> receive assistance, or be evicted or exited from assistance for a first-time violation of a drug-related program policy or lease requirement. </w:t>
            </w:r>
          </w:p>
        </w:tc>
      </w:tr>
    </w:tbl>
    <w:p w14:paraId="60F4D940" w14:textId="77777777" w:rsidR="009F5535" w:rsidRDefault="009F5535" w:rsidP="00A41701">
      <w:pPr>
        <w:pStyle w:val="Default"/>
        <w:rPr>
          <w:rFonts w:ascii="Times New Roman" w:hAnsi="Times New Roman" w:cs="Times New Roman"/>
          <w:b/>
          <w:bCs/>
          <w:i/>
          <w:iCs/>
          <w:sz w:val="22"/>
          <w:szCs w:val="22"/>
        </w:rPr>
      </w:pPr>
    </w:p>
    <w:p w14:paraId="37E795AA" w14:textId="3E452D98" w:rsidR="009A7465" w:rsidRPr="001A0044" w:rsidRDefault="00A41701" w:rsidP="00A41701">
      <w:pPr>
        <w:pStyle w:val="Default"/>
        <w:rPr>
          <w:rFonts w:ascii="Times New Roman" w:hAnsi="Times New Roman" w:cs="Times New Roman"/>
          <w:b/>
          <w:bCs/>
          <w:sz w:val="22"/>
          <w:szCs w:val="22"/>
        </w:rPr>
      </w:pPr>
      <w:r w:rsidRPr="001A0044">
        <w:rPr>
          <w:rFonts w:ascii="Times New Roman" w:hAnsi="Times New Roman" w:cs="Times New Roman"/>
          <w:b/>
          <w:bCs/>
          <w:sz w:val="22"/>
          <w:szCs w:val="22"/>
        </w:rPr>
        <w:t>HUD Funding Process</w:t>
      </w:r>
    </w:p>
    <w:p w14:paraId="7F908E05" w14:textId="080EB94E"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sz w:val="22"/>
          <w:szCs w:val="22"/>
        </w:rPr>
        <w:t xml:space="preserve">All project applications, including YHDP renewal and replacement projects, must be competitively ranked, except for CoC Planning and, if applicable, UFA Costs Applications. </w:t>
      </w:r>
    </w:p>
    <w:p w14:paraId="67A55724"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(1) </w:t>
      </w:r>
      <w:r w:rsidRPr="00110974">
        <w:rPr>
          <w:rFonts w:ascii="Times New Roman" w:hAnsi="Times New Roman" w:cs="Times New Roman"/>
          <w:sz w:val="22"/>
          <w:szCs w:val="22"/>
        </w:rPr>
        <w:t xml:space="preserve">HUD will select all CoC Planning and UFA Costs applications that meet project eligibility threshold requirements. Only one CoC Planning and one UFA Costs (if applicable) project application can be submitted </w:t>
      </w:r>
      <w:proofErr w:type="gramStart"/>
      <w:r w:rsidRPr="00110974">
        <w:rPr>
          <w:rFonts w:ascii="Times New Roman" w:hAnsi="Times New Roman" w:cs="Times New Roman"/>
          <w:sz w:val="22"/>
          <w:szCs w:val="22"/>
        </w:rPr>
        <w:t>per</w:t>
      </w:r>
      <w:proofErr w:type="gramEnd"/>
      <w:r w:rsidRPr="00110974">
        <w:rPr>
          <w:rFonts w:ascii="Times New Roman" w:hAnsi="Times New Roman" w:cs="Times New Roman"/>
          <w:sz w:val="22"/>
          <w:szCs w:val="22"/>
        </w:rPr>
        <w:t xml:space="preserve"> CoC. </w:t>
      </w:r>
    </w:p>
    <w:p w14:paraId="4D0CEDB3"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(2) </w:t>
      </w:r>
      <w:r w:rsidRPr="00110974">
        <w:rPr>
          <w:rFonts w:ascii="Times New Roman" w:hAnsi="Times New Roman" w:cs="Times New Roman"/>
          <w:sz w:val="22"/>
          <w:szCs w:val="22"/>
        </w:rPr>
        <w:t xml:space="preserve">HUD will then select all projects in Tier 1 that pass project eligibility thresholds as described in section V.A.4 of this NOFO. </w:t>
      </w:r>
    </w:p>
    <w:p w14:paraId="0407BBE8"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(3) </w:t>
      </w:r>
      <w:r w:rsidRPr="00110974">
        <w:rPr>
          <w:rFonts w:ascii="Times New Roman" w:hAnsi="Times New Roman" w:cs="Times New Roman"/>
          <w:sz w:val="22"/>
          <w:szCs w:val="22"/>
        </w:rPr>
        <w:t>HUD will then review DV Bonus projects (this does not include DV Reallocation or the renewal of projects originally funded under the DV Bonus) already selected for funding through the above process and determine whether $104,000,000 has been awarded to DV Bonus projects:</w:t>
      </w:r>
    </w:p>
    <w:p w14:paraId="37C05885" w14:textId="77777777" w:rsidR="00A41701" w:rsidRPr="00110974" w:rsidRDefault="00A41701" w:rsidP="009F5535">
      <w:pPr>
        <w:pStyle w:val="Default"/>
        <w:ind w:firstLine="720"/>
        <w:rPr>
          <w:rFonts w:ascii="Times New Roman" w:hAnsi="Times New Roman" w:cs="Times New Roman"/>
          <w:sz w:val="22"/>
          <w:szCs w:val="22"/>
        </w:rPr>
      </w:pPr>
      <w:r w:rsidRPr="00110974">
        <w:rPr>
          <w:rFonts w:ascii="Times New Roman" w:hAnsi="Times New Roman" w:cs="Times New Roman"/>
          <w:b/>
          <w:bCs/>
          <w:sz w:val="22"/>
          <w:szCs w:val="22"/>
        </w:rPr>
        <w:t xml:space="preserve">(a) </w:t>
      </w:r>
      <w:r w:rsidRPr="00110974">
        <w:rPr>
          <w:rFonts w:ascii="Times New Roman" w:hAnsi="Times New Roman" w:cs="Times New Roman"/>
          <w:sz w:val="22"/>
          <w:szCs w:val="22"/>
        </w:rPr>
        <w:t xml:space="preserve">If at least $104,000,000 has been selected for conditional award no further action is needed. </w:t>
      </w:r>
    </w:p>
    <w:p w14:paraId="6910CAB8" w14:textId="77777777" w:rsidR="00A41701" w:rsidRPr="00110974" w:rsidRDefault="00A41701" w:rsidP="009F5535">
      <w:pPr>
        <w:pStyle w:val="Default"/>
        <w:ind w:left="720"/>
        <w:rPr>
          <w:rFonts w:ascii="Times New Roman" w:hAnsi="Times New Roman" w:cs="Times New Roman"/>
          <w:sz w:val="22"/>
          <w:szCs w:val="22"/>
        </w:rPr>
      </w:pPr>
      <w:r w:rsidRPr="00110974">
        <w:rPr>
          <w:rFonts w:ascii="Times New Roman" w:hAnsi="Times New Roman" w:cs="Times New Roman"/>
          <w:b/>
          <w:bCs/>
          <w:sz w:val="22"/>
          <w:szCs w:val="22"/>
        </w:rPr>
        <w:t xml:space="preserve">(b) </w:t>
      </w:r>
      <w:r w:rsidRPr="00110974">
        <w:rPr>
          <w:rFonts w:ascii="Times New Roman" w:hAnsi="Times New Roman" w:cs="Times New Roman"/>
          <w:sz w:val="22"/>
          <w:szCs w:val="22"/>
        </w:rPr>
        <w:t xml:space="preserve">If $104,000,000 has not been selected for conditional award – HUD will continue down the list and fund additional DV Bonus projects by project-level score until at least $104 million has been selected. </w:t>
      </w:r>
    </w:p>
    <w:p w14:paraId="443DDDF8"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(4) </w:t>
      </w:r>
      <w:r w:rsidRPr="00110974">
        <w:rPr>
          <w:rFonts w:ascii="Times New Roman" w:hAnsi="Times New Roman" w:cs="Times New Roman"/>
          <w:sz w:val="22"/>
          <w:szCs w:val="22"/>
        </w:rPr>
        <w:t xml:space="preserve">HUD will then review Permanent Housing projects for families with children already selected for funding through the above process and determine whether $430,000,000 has been awarded to Permanent Housing projects that serve families with children: </w:t>
      </w:r>
    </w:p>
    <w:p w14:paraId="147946DE" w14:textId="77777777" w:rsidR="00A41701" w:rsidRPr="00110974" w:rsidRDefault="00A41701" w:rsidP="001D46B3">
      <w:pPr>
        <w:pStyle w:val="Default"/>
        <w:ind w:left="720"/>
        <w:rPr>
          <w:rFonts w:ascii="Times New Roman" w:hAnsi="Times New Roman" w:cs="Times New Roman"/>
          <w:sz w:val="22"/>
          <w:szCs w:val="22"/>
        </w:rPr>
      </w:pPr>
      <w:r w:rsidRPr="00110974">
        <w:rPr>
          <w:rFonts w:ascii="Times New Roman" w:hAnsi="Times New Roman" w:cs="Times New Roman"/>
          <w:b/>
          <w:bCs/>
          <w:sz w:val="22"/>
          <w:szCs w:val="22"/>
        </w:rPr>
        <w:t xml:space="preserve">(a) </w:t>
      </w:r>
      <w:r w:rsidRPr="00110974">
        <w:rPr>
          <w:rFonts w:ascii="Times New Roman" w:hAnsi="Times New Roman" w:cs="Times New Roman"/>
          <w:sz w:val="22"/>
          <w:szCs w:val="22"/>
        </w:rPr>
        <w:t xml:space="preserve">If at least $430,000,000 has been selected for conditional award no further action is needed. </w:t>
      </w:r>
    </w:p>
    <w:p w14:paraId="0BA068FA" w14:textId="77777777" w:rsidR="00A41701" w:rsidRPr="00110974" w:rsidRDefault="00A41701" w:rsidP="001D46B3">
      <w:pPr>
        <w:pStyle w:val="Default"/>
        <w:ind w:left="720"/>
        <w:rPr>
          <w:rFonts w:ascii="Times New Roman" w:hAnsi="Times New Roman" w:cs="Times New Roman"/>
          <w:sz w:val="22"/>
          <w:szCs w:val="22"/>
        </w:rPr>
      </w:pPr>
      <w:r w:rsidRPr="00110974">
        <w:rPr>
          <w:rFonts w:ascii="Times New Roman" w:hAnsi="Times New Roman" w:cs="Times New Roman"/>
          <w:b/>
          <w:bCs/>
          <w:sz w:val="22"/>
          <w:szCs w:val="22"/>
        </w:rPr>
        <w:t xml:space="preserve">(b) </w:t>
      </w:r>
      <w:r w:rsidRPr="00110974">
        <w:rPr>
          <w:rFonts w:ascii="Times New Roman" w:hAnsi="Times New Roman" w:cs="Times New Roman"/>
          <w:sz w:val="22"/>
          <w:szCs w:val="22"/>
        </w:rPr>
        <w:t>If $430,000,000 has not been selected for conditional award – HUD will continue down the list and fund additional Permanent Housing for families with children projects by project-level score until at least $430 million has been selected.</w:t>
      </w:r>
    </w:p>
    <w:p w14:paraId="23E7E662"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(5) </w:t>
      </w:r>
      <w:r w:rsidRPr="00110974">
        <w:rPr>
          <w:rFonts w:ascii="Times New Roman" w:hAnsi="Times New Roman" w:cs="Times New Roman"/>
          <w:sz w:val="22"/>
          <w:szCs w:val="22"/>
        </w:rPr>
        <w:t xml:space="preserve">HUD will then select new Transitional Housing (TH) or Supportive Service Only (SSO) projects ranked in Tier 2 that meet project eligibility thresholds in the order of project score as described in section V.D.3.b below until $1,300,000,000 of new projects have been selected. </w:t>
      </w:r>
    </w:p>
    <w:p w14:paraId="127E13D9" w14:textId="23AF61CE"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(6) </w:t>
      </w:r>
      <w:r w:rsidRPr="00110974">
        <w:rPr>
          <w:rFonts w:ascii="Times New Roman" w:hAnsi="Times New Roman" w:cs="Times New Roman"/>
          <w:sz w:val="22"/>
          <w:szCs w:val="22"/>
        </w:rPr>
        <w:t>HUD will then continue selecting new projects ranked in Tier 2 that meet project eligibility thresholds in the order of project score as described in section V.D.3.b below until $</w:t>
      </w:r>
      <w:r w:rsidR="00013B11" w:rsidRPr="00110974">
        <w:rPr>
          <w:rFonts w:ascii="Times New Roman" w:hAnsi="Times New Roman" w:cs="Times New Roman"/>
          <w:sz w:val="22"/>
          <w:szCs w:val="22"/>
        </w:rPr>
        <w:t>1,300,000,000</w:t>
      </w:r>
      <w:r w:rsidRPr="00110974">
        <w:rPr>
          <w:rFonts w:ascii="Times New Roman" w:hAnsi="Times New Roman" w:cs="Times New Roman"/>
          <w:sz w:val="22"/>
          <w:szCs w:val="22"/>
        </w:rPr>
        <w:t xml:space="preserve"> new projects have been selected. </w:t>
      </w:r>
    </w:p>
    <w:p w14:paraId="09CC21EF" w14:textId="0CE34A2F"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(7) </w:t>
      </w:r>
      <w:r w:rsidRPr="00110974">
        <w:rPr>
          <w:rFonts w:ascii="Times New Roman" w:hAnsi="Times New Roman" w:cs="Times New Roman"/>
          <w:sz w:val="22"/>
          <w:szCs w:val="22"/>
        </w:rPr>
        <w:t xml:space="preserve">If at any point, HUD selects new projects in an amount more than $1,300,000,000 HUD </w:t>
      </w:r>
      <w:r w:rsidR="00013B11" w:rsidRPr="00110974">
        <w:rPr>
          <w:rFonts w:ascii="Times New Roman" w:hAnsi="Times New Roman" w:cs="Times New Roman"/>
          <w:sz w:val="22"/>
          <w:szCs w:val="22"/>
        </w:rPr>
        <w:t>removes</w:t>
      </w:r>
      <w:r w:rsidRPr="00110974">
        <w:rPr>
          <w:rFonts w:ascii="Times New Roman" w:hAnsi="Times New Roman" w:cs="Times New Roman"/>
          <w:sz w:val="22"/>
          <w:szCs w:val="22"/>
        </w:rPr>
        <w:t xml:space="preserve"> all remaining unselected new projects, </w:t>
      </w:r>
      <w:r w:rsidR="00404ECB" w:rsidRPr="00110974">
        <w:rPr>
          <w:rFonts w:ascii="Times New Roman" w:hAnsi="Times New Roman" w:cs="Times New Roman"/>
          <w:sz w:val="22"/>
          <w:szCs w:val="22"/>
        </w:rPr>
        <w:t>recalculates</w:t>
      </w:r>
      <w:r w:rsidRPr="00110974">
        <w:rPr>
          <w:rFonts w:ascii="Times New Roman" w:hAnsi="Times New Roman" w:cs="Times New Roman"/>
          <w:sz w:val="22"/>
          <w:szCs w:val="22"/>
        </w:rPr>
        <w:t xml:space="preserve"> Tier 2 scores, and </w:t>
      </w:r>
      <w:r w:rsidR="00067514" w:rsidRPr="00110974">
        <w:rPr>
          <w:rFonts w:ascii="Times New Roman" w:hAnsi="Times New Roman" w:cs="Times New Roman"/>
          <w:sz w:val="22"/>
          <w:szCs w:val="22"/>
        </w:rPr>
        <w:t>continues</w:t>
      </w:r>
      <w:r w:rsidRPr="00110974">
        <w:rPr>
          <w:rFonts w:ascii="Times New Roman" w:hAnsi="Times New Roman" w:cs="Times New Roman"/>
          <w:sz w:val="22"/>
          <w:szCs w:val="22"/>
        </w:rPr>
        <w:t xml:space="preserve"> selecting projects.</w:t>
      </w:r>
    </w:p>
    <w:p w14:paraId="773E86D7" w14:textId="77777777" w:rsidR="00A41701" w:rsidRDefault="00A41701" w:rsidP="00A41701">
      <w:pPr>
        <w:pStyle w:val="Default"/>
        <w:rPr>
          <w:rFonts w:ascii="Times New Roman" w:hAnsi="Times New Roman" w:cs="Times New Roman"/>
          <w:sz w:val="22"/>
          <w:szCs w:val="22"/>
        </w:rPr>
      </w:pPr>
    </w:p>
    <w:p w14:paraId="7A9CAB62" w14:textId="6DC02038" w:rsidR="00190584" w:rsidRPr="00190584" w:rsidRDefault="00190584" w:rsidP="00A41701">
      <w:pPr>
        <w:pStyle w:val="Default"/>
        <w:rPr>
          <w:rFonts w:ascii="Times New Roman" w:hAnsi="Times New Roman" w:cs="Times New Roman"/>
          <w:b/>
          <w:bCs/>
          <w:sz w:val="22"/>
          <w:szCs w:val="22"/>
        </w:rPr>
      </w:pPr>
      <w:r w:rsidRPr="00190584">
        <w:rPr>
          <w:rFonts w:ascii="Times New Roman" w:hAnsi="Times New Roman" w:cs="Times New Roman"/>
          <w:b/>
          <w:bCs/>
          <w:sz w:val="22"/>
          <w:szCs w:val="22"/>
        </w:rPr>
        <w:t>Tier 2</w:t>
      </w:r>
    </w:p>
    <w:p w14:paraId="34C7EF13" w14:textId="77777777" w:rsidR="00A41701" w:rsidRPr="00110974" w:rsidRDefault="00A41701" w:rsidP="00A41701">
      <w:pPr>
        <w:pStyle w:val="Default"/>
        <w:rPr>
          <w:rFonts w:ascii="Times New Roman" w:hAnsi="Times New Roman" w:cs="Times New Roman"/>
          <w:sz w:val="22"/>
          <w:szCs w:val="22"/>
        </w:rPr>
      </w:pPr>
      <w:r w:rsidRPr="00110974">
        <w:rPr>
          <w:rFonts w:ascii="Times New Roman" w:hAnsi="Times New Roman" w:cs="Times New Roman"/>
          <w:sz w:val="22"/>
          <w:szCs w:val="22"/>
        </w:rPr>
        <w:t xml:space="preserve">HUD will award a point value to each ranked new and renewal project application that is in Tier 2 using a 100-point scale, and conditionally select applications in Tier 2 using this point value from the highest scoring project application to the lowest: </w:t>
      </w:r>
    </w:p>
    <w:p w14:paraId="752B873D" w14:textId="1046690E" w:rsidR="00A41701" w:rsidRPr="00110974" w:rsidRDefault="00A41701" w:rsidP="008436D9">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(1) </w:t>
      </w:r>
      <w:r w:rsidRPr="00CE6F74">
        <w:rPr>
          <w:rFonts w:ascii="Times New Roman" w:hAnsi="Times New Roman" w:cs="Times New Roman"/>
          <w:i/>
          <w:iCs/>
          <w:sz w:val="22"/>
          <w:szCs w:val="22"/>
          <w:u w:val="single"/>
        </w:rPr>
        <w:t>CoC Score</w:t>
      </w:r>
      <w:r w:rsidRPr="00110974">
        <w:rPr>
          <w:rFonts w:ascii="Times New Roman" w:hAnsi="Times New Roman" w:cs="Times New Roman"/>
          <w:i/>
          <w:iCs/>
          <w:sz w:val="22"/>
          <w:szCs w:val="22"/>
        </w:rPr>
        <w:t xml:space="preserve"> </w:t>
      </w:r>
      <w:r w:rsidRPr="00110974">
        <w:rPr>
          <w:rFonts w:ascii="Times New Roman" w:hAnsi="Times New Roman" w:cs="Times New Roman"/>
          <w:sz w:val="22"/>
          <w:szCs w:val="22"/>
        </w:rPr>
        <w:t xml:space="preserve">Up to 50 points in direct proportion to the score received on the CoC Application, e.g., if a CoC received 65 out of 130 points on the CoC Application, the project application would receive 25 out of 50 points for this criterion. </w:t>
      </w:r>
    </w:p>
    <w:p w14:paraId="21F0191C" w14:textId="7838F3A8" w:rsidR="00A41701" w:rsidRPr="00110974" w:rsidRDefault="00A41701" w:rsidP="008436D9">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(2) </w:t>
      </w:r>
      <w:r w:rsidRPr="00CE6F74">
        <w:rPr>
          <w:rFonts w:ascii="Times New Roman" w:hAnsi="Times New Roman" w:cs="Times New Roman"/>
          <w:i/>
          <w:iCs/>
          <w:sz w:val="22"/>
          <w:szCs w:val="22"/>
          <w:u w:val="single"/>
        </w:rPr>
        <w:t>CoC Project Ranking</w:t>
      </w:r>
      <w:r w:rsidRPr="00110974">
        <w:rPr>
          <w:rFonts w:ascii="Times New Roman" w:hAnsi="Times New Roman" w:cs="Times New Roman"/>
          <w:i/>
          <w:iCs/>
          <w:sz w:val="22"/>
          <w:szCs w:val="22"/>
        </w:rPr>
        <w:t xml:space="preserve"> </w:t>
      </w:r>
      <w:r w:rsidRPr="00110974">
        <w:rPr>
          <w:rFonts w:ascii="Times New Roman" w:hAnsi="Times New Roman" w:cs="Times New Roman"/>
          <w:sz w:val="22"/>
          <w:szCs w:val="22"/>
        </w:rPr>
        <w:t xml:space="preserve">Up to 40 points for the CoC's ranking of the project application(s). To consider the CoCs ranking of projects, HUD will assign point values directly related to the CoCs' ranking of project applications. The calculation of point values will be 40 times the quantity (1-x) where x is the ratio of the cumulative funding requests for all projects or portions of projects ranked higher by the CoC </w:t>
      </w:r>
      <w:r w:rsidRPr="00110974">
        <w:rPr>
          <w:rFonts w:ascii="Times New Roman" w:hAnsi="Times New Roman" w:cs="Times New Roman"/>
          <w:sz w:val="22"/>
          <w:szCs w:val="22"/>
        </w:rPr>
        <w:lastRenderedPageBreak/>
        <w:t xml:space="preserve">in Tier 2 plus one half of the funding of the project of interest to the total amount of funding available in Tier 2 for the CoC. </w:t>
      </w:r>
    </w:p>
    <w:p w14:paraId="13001B05" w14:textId="60E94424" w:rsidR="00A41701" w:rsidRPr="00110974" w:rsidRDefault="00A41701" w:rsidP="008436D9">
      <w:pPr>
        <w:pStyle w:val="Default"/>
        <w:rPr>
          <w:rFonts w:ascii="Times New Roman" w:hAnsi="Times New Roman" w:cs="Times New Roman"/>
          <w:sz w:val="22"/>
          <w:szCs w:val="22"/>
        </w:rPr>
      </w:pPr>
      <w:r w:rsidRPr="00110974">
        <w:rPr>
          <w:rFonts w:ascii="Times New Roman" w:hAnsi="Times New Roman" w:cs="Times New Roman"/>
          <w:b/>
          <w:bCs/>
          <w:sz w:val="22"/>
          <w:szCs w:val="22"/>
        </w:rPr>
        <w:t xml:space="preserve">(3) </w:t>
      </w:r>
      <w:r w:rsidRPr="00CE6F74">
        <w:rPr>
          <w:rFonts w:ascii="Times New Roman" w:hAnsi="Times New Roman" w:cs="Times New Roman"/>
          <w:i/>
          <w:iCs/>
          <w:sz w:val="22"/>
          <w:szCs w:val="22"/>
          <w:u w:val="single"/>
        </w:rPr>
        <w:t>Service Participation</w:t>
      </w:r>
      <w:r w:rsidRPr="00110974">
        <w:rPr>
          <w:rFonts w:ascii="Times New Roman" w:hAnsi="Times New Roman" w:cs="Times New Roman"/>
          <w:i/>
          <w:iCs/>
          <w:sz w:val="22"/>
          <w:szCs w:val="22"/>
        </w:rPr>
        <w:t xml:space="preserve"> </w:t>
      </w:r>
      <w:r w:rsidRPr="00110974">
        <w:rPr>
          <w:rFonts w:ascii="Times New Roman" w:hAnsi="Times New Roman" w:cs="Times New Roman"/>
          <w:sz w:val="22"/>
          <w:szCs w:val="22"/>
        </w:rPr>
        <w:t xml:space="preserve">Up to 10 points for </w:t>
      </w:r>
      <w:proofErr w:type="gramStart"/>
      <w:r w:rsidR="00CE6F74" w:rsidRPr="00110974">
        <w:rPr>
          <w:rFonts w:ascii="Times New Roman" w:hAnsi="Times New Roman" w:cs="Times New Roman"/>
          <w:sz w:val="22"/>
          <w:szCs w:val="22"/>
        </w:rPr>
        <w:t>projects</w:t>
      </w:r>
      <w:r w:rsidRPr="00110974">
        <w:rPr>
          <w:rFonts w:ascii="Times New Roman" w:hAnsi="Times New Roman" w:cs="Times New Roman"/>
          <w:sz w:val="22"/>
          <w:szCs w:val="22"/>
        </w:rPr>
        <w:t xml:space="preserve"> </w:t>
      </w:r>
      <w:r w:rsidR="00404ECB">
        <w:rPr>
          <w:rFonts w:ascii="Times New Roman" w:hAnsi="Times New Roman" w:cs="Times New Roman"/>
          <w:sz w:val="22"/>
          <w:szCs w:val="22"/>
        </w:rPr>
        <w:t>that</w:t>
      </w:r>
      <w:proofErr w:type="gramEnd"/>
      <w:r w:rsidR="00404ECB">
        <w:rPr>
          <w:rFonts w:ascii="Times New Roman" w:hAnsi="Times New Roman" w:cs="Times New Roman"/>
          <w:sz w:val="22"/>
          <w:szCs w:val="22"/>
        </w:rPr>
        <w:t xml:space="preserve"> </w:t>
      </w:r>
      <w:r w:rsidRPr="00110974">
        <w:rPr>
          <w:rFonts w:ascii="Times New Roman" w:hAnsi="Times New Roman" w:cs="Times New Roman"/>
          <w:sz w:val="22"/>
          <w:szCs w:val="22"/>
        </w:rPr>
        <w:t>indicate that they have or will incorporate supportive service participation requirements in their program design, based on individual need in accordance with 24 CFR 578.75(h). Supportive Service Only (SSO) and HMIS will automatically receive 10 points in this category.</w:t>
      </w:r>
    </w:p>
    <w:p w14:paraId="393C734D" w14:textId="77777777" w:rsidR="00BF1E61" w:rsidRPr="00BF5130" w:rsidRDefault="00BF1E61" w:rsidP="00F617D7">
      <w:pPr>
        <w:rPr>
          <w:rFonts w:ascii="Times New Roman" w:hAnsi="Times New Roman" w:cs="Times New Roman"/>
          <w:b/>
          <w:bCs/>
          <w:sz w:val="24"/>
          <w:szCs w:val="24"/>
          <w:u w:val="single"/>
        </w:rPr>
      </w:pPr>
    </w:p>
    <w:p w14:paraId="79B50806" w14:textId="4485C087" w:rsidR="00615506" w:rsidRPr="00BF5130" w:rsidRDefault="00615506" w:rsidP="00F617D7">
      <w:pPr>
        <w:rPr>
          <w:rFonts w:ascii="Times New Roman" w:hAnsi="Times New Roman" w:cs="Times New Roman"/>
          <w:b/>
          <w:bCs/>
          <w:sz w:val="24"/>
          <w:szCs w:val="24"/>
          <w:u w:val="single"/>
        </w:rPr>
      </w:pPr>
      <w:r w:rsidRPr="00BF5130">
        <w:rPr>
          <w:rFonts w:ascii="Times New Roman" w:hAnsi="Times New Roman" w:cs="Times New Roman"/>
          <w:b/>
          <w:bCs/>
          <w:sz w:val="24"/>
          <w:szCs w:val="24"/>
          <w:u w:val="single"/>
        </w:rPr>
        <w:t>Co</w:t>
      </w:r>
      <w:r w:rsidR="00CE6F74">
        <w:rPr>
          <w:rFonts w:ascii="Times New Roman" w:hAnsi="Times New Roman" w:cs="Times New Roman"/>
          <w:b/>
          <w:bCs/>
          <w:sz w:val="24"/>
          <w:szCs w:val="24"/>
          <w:u w:val="single"/>
        </w:rPr>
        <w:t>nsolidated</w:t>
      </w:r>
      <w:r w:rsidRPr="00BF5130">
        <w:rPr>
          <w:rFonts w:ascii="Times New Roman" w:hAnsi="Times New Roman" w:cs="Times New Roman"/>
          <w:b/>
          <w:bCs/>
          <w:sz w:val="24"/>
          <w:szCs w:val="24"/>
          <w:u w:val="single"/>
        </w:rPr>
        <w:t xml:space="preserve"> Application point breakdown</w:t>
      </w:r>
      <w:r w:rsidR="008C53E8">
        <w:rPr>
          <w:rFonts w:ascii="Times New Roman" w:hAnsi="Times New Roman" w:cs="Times New Roman"/>
          <w:b/>
          <w:bCs/>
          <w:sz w:val="24"/>
          <w:szCs w:val="24"/>
          <w:u w:val="single"/>
        </w:rPr>
        <w:t xml:space="preserve"> (score)</w:t>
      </w:r>
      <w:r w:rsidRPr="00BF5130">
        <w:rPr>
          <w:rFonts w:ascii="Times New Roman" w:hAnsi="Times New Roman" w:cs="Times New Roman"/>
          <w:b/>
          <w:bCs/>
          <w:sz w:val="24"/>
          <w:szCs w:val="24"/>
          <w:u w:val="single"/>
        </w:rPr>
        <w:t>:</w:t>
      </w:r>
    </w:p>
    <w:tbl>
      <w:tblPr>
        <w:tblStyle w:val="TableGrid"/>
        <w:tblW w:w="0" w:type="auto"/>
        <w:tblLook w:val="04A0" w:firstRow="1" w:lastRow="0" w:firstColumn="1" w:lastColumn="0" w:noHBand="0" w:noVBand="1"/>
      </w:tblPr>
      <w:tblGrid>
        <w:gridCol w:w="1435"/>
        <w:gridCol w:w="5130"/>
      </w:tblGrid>
      <w:tr w:rsidR="00615506" w:rsidRPr="00BF5130" w14:paraId="43E99EA4" w14:textId="77777777" w:rsidTr="007B7F06">
        <w:tc>
          <w:tcPr>
            <w:tcW w:w="1435" w:type="dxa"/>
            <w:shd w:val="clear" w:color="auto" w:fill="D5DCE4" w:themeFill="text2" w:themeFillTint="33"/>
          </w:tcPr>
          <w:p w14:paraId="274B32EA" w14:textId="77C226DC"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Points</w:t>
            </w:r>
          </w:p>
        </w:tc>
        <w:tc>
          <w:tcPr>
            <w:tcW w:w="5130" w:type="dxa"/>
            <w:shd w:val="clear" w:color="auto" w:fill="D5DCE4" w:themeFill="text2" w:themeFillTint="33"/>
          </w:tcPr>
          <w:p w14:paraId="0AED1274" w14:textId="568CCB54"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Score area</w:t>
            </w:r>
          </w:p>
        </w:tc>
      </w:tr>
      <w:tr w:rsidR="00615506" w:rsidRPr="00BF5130" w14:paraId="7ACAB70C" w14:textId="77777777" w:rsidTr="007B7F06">
        <w:tc>
          <w:tcPr>
            <w:tcW w:w="1435" w:type="dxa"/>
          </w:tcPr>
          <w:p w14:paraId="7477E3C0" w14:textId="31F9A54A" w:rsidR="00615506" w:rsidRPr="00510524" w:rsidRDefault="00F0275C" w:rsidP="00F617D7">
            <w:pPr>
              <w:rPr>
                <w:rFonts w:ascii="Times New Roman" w:hAnsi="Times New Roman" w:cs="Times New Roman"/>
                <w:sz w:val="24"/>
                <w:szCs w:val="24"/>
              </w:rPr>
            </w:pPr>
            <w:r>
              <w:rPr>
                <w:rFonts w:ascii="Times New Roman" w:hAnsi="Times New Roman" w:cs="Times New Roman"/>
                <w:sz w:val="24"/>
                <w:szCs w:val="24"/>
              </w:rPr>
              <w:t>14</w:t>
            </w:r>
          </w:p>
        </w:tc>
        <w:tc>
          <w:tcPr>
            <w:tcW w:w="5130" w:type="dxa"/>
          </w:tcPr>
          <w:p w14:paraId="3669255A" w14:textId="074EC16F" w:rsidR="00615506" w:rsidRPr="00BF5130" w:rsidRDefault="003F4B60" w:rsidP="00F617D7">
            <w:pPr>
              <w:rPr>
                <w:rFonts w:ascii="Times New Roman" w:hAnsi="Times New Roman" w:cs="Times New Roman"/>
                <w:sz w:val="24"/>
                <w:szCs w:val="24"/>
              </w:rPr>
            </w:pPr>
            <w:r>
              <w:rPr>
                <w:rFonts w:ascii="Times New Roman" w:hAnsi="Times New Roman" w:cs="Times New Roman"/>
                <w:sz w:val="24"/>
                <w:szCs w:val="24"/>
              </w:rPr>
              <w:t>Project Capacity, Review and Ranking</w:t>
            </w:r>
          </w:p>
        </w:tc>
      </w:tr>
      <w:tr w:rsidR="00615506" w:rsidRPr="00BF5130" w14:paraId="3461FC69" w14:textId="77777777" w:rsidTr="007B7F06">
        <w:tc>
          <w:tcPr>
            <w:tcW w:w="1435" w:type="dxa"/>
          </w:tcPr>
          <w:p w14:paraId="4DDD40E4" w14:textId="2637746D" w:rsidR="00615506" w:rsidRPr="00510524" w:rsidRDefault="00F0275C" w:rsidP="00F617D7">
            <w:pPr>
              <w:rPr>
                <w:rFonts w:ascii="Times New Roman" w:hAnsi="Times New Roman" w:cs="Times New Roman"/>
                <w:sz w:val="24"/>
                <w:szCs w:val="24"/>
              </w:rPr>
            </w:pPr>
            <w:r>
              <w:rPr>
                <w:rFonts w:ascii="Times New Roman" w:hAnsi="Times New Roman" w:cs="Times New Roman"/>
                <w:sz w:val="24"/>
                <w:szCs w:val="24"/>
              </w:rPr>
              <w:t>64</w:t>
            </w:r>
          </w:p>
        </w:tc>
        <w:tc>
          <w:tcPr>
            <w:tcW w:w="5130" w:type="dxa"/>
          </w:tcPr>
          <w:p w14:paraId="3C0F5CA5" w14:textId="00364B78" w:rsidR="00615506" w:rsidRPr="00BF5130" w:rsidRDefault="00F0275C" w:rsidP="00F617D7">
            <w:pPr>
              <w:rPr>
                <w:rFonts w:ascii="Times New Roman" w:hAnsi="Times New Roman" w:cs="Times New Roman"/>
                <w:sz w:val="24"/>
                <w:szCs w:val="24"/>
              </w:rPr>
            </w:pPr>
            <w:r>
              <w:rPr>
                <w:rFonts w:ascii="Times New Roman" w:hAnsi="Times New Roman" w:cs="Times New Roman"/>
                <w:sz w:val="24"/>
                <w:szCs w:val="24"/>
              </w:rPr>
              <w:t>System Performance</w:t>
            </w:r>
          </w:p>
        </w:tc>
      </w:tr>
      <w:tr w:rsidR="00615506" w:rsidRPr="00BF5130" w14:paraId="09596163" w14:textId="77777777" w:rsidTr="007B7F06">
        <w:tc>
          <w:tcPr>
            <w:tcW w:w="1435" w:type="dxa"/>
          </w:tcPr>
          <w:p w14:paraId="2E1D1326" w14:textId="04EAE3F9" w:rsidR="00615506" w:rsidRPr="00510524" w:rsidRDefault="008E450E" w:rsidP="00F617D7">
            <w:pPr>
              <w:rPr>
                <w:rFonts w:ascii="Times New Roman" w:hAnsi="Times New Roman" w:cs="Times New Roman"/>
                <w:sz w:val="24"/>
                <w:szCs w:val="24"/>
              </w:rPr>
            </w:pPr>
            <w:r>
              <w:rPr>
                <w:rFonts w:ascii="Times New Roman" w:hAnsi="Times New Roman" w:cs="Times New Roman"/>
                <w:sz w:val="24"/>
                <w:szCs w:val="24"/>
              </w:rPr>
              <w:t>16</w:t>
            </w:r>
          </w:p>
        </w:tc>
        <w:tc>
          <w:tcPr>
            <w:tcW w:w="5130" w:type="dxa"/>
          </w:tcPr>
          <w:p w14:paraId="2C746BD4" w14:textId="24335343" w:rsidR="00615506" w:rsidRPr="00BF5130" w:rsidRDefault="007839BF" w:rsidP="00F617D7">
            <w:pPr>
              <w:rPr>
                <w:rFonts w:ascii="Times New Roman" w:hAnsi="Times New Roman" w:cs="Times New Roman"/>
                <w:sz w:val="24"/>
                <w:szCs w:val="24"/>
              </w:rPr>
            </w:pPr>
            <w:r>
              <w:rPr>
                <w:rFonts w:ascii="Times New Roman" w:hAnsi="Times New Roman" w:cs="Times New Roman"/>
                <w:sz w:val="24"/>
                <w:szCs w:val="24"/>
              </w:rPr>
              <w:t xml:space="preserve">Accountable Structure and </w:t>
            </w:r>
            <w:r w:rsidR="008E450E">
              <w:rPr>
                <w:rFonts w:ascii="Times New Roman" w:hAnsi="Times New Roman" w:cs="Times New Roman"/>
                <w:sz w:val="24"/>
                <w:szCs w:val="24"/>
              </w:rPr>
              <w:t>Planning</w:t>
            </w:r>
          </w:p>
        </w:tc>
      </w:tr>
      <w:tr w:rsidR="00615506" w:rsidRPr="00BF5130" w14:paraId="0979BBD4" w14:textId="77777777" w:rsidTr="007B7F06">
        <w:tc>
          <w:tcPr>
            <w:tcW w:w="1435" w:type="dxa"/>
          </w:tcPr>
          <w:p w14:paraId="44F9BD60" w14:textId="2B8BDD2F" w:rsidR="00615506" w:rsidRPr="00510524" w:rsidRDefault="0048475E" w:rsidP="00F617D7">
            <w:pPr>
              <w:rPr>
                <w:rFonts w:ascii="Times New Roman" w:hAnsi="Times New Roman" w:cs="Times New Roman"/>
                <w:sz w:val="24"/>
                <w:szCs w:val="24"/>
              </w:rPr>
            </w:pPr>
            <w:r>
              <w:rPr>
                <w:rFonts w:ascii="Times New Roman" w:hAnsi="Times New Roman" w:cs="Times New Roman"/>
                <w:sz w:val="24"/>
                <w:szCs w:val="24"/>
              </w:rPr>
              <w:t>72</w:t>
            </w:r>
          </w:p>
        </w:tc>
        <w:tc>
          <w:tcPr>
            <w:tcW w:w="5130" w:type="dxa"/>
          </w:tcPr>
          <w:p w14:paraId="3BE2DE5F" w14:textId="114B1BB0" w:rsidR="00615506" w:rsidRPr="00BF5130" w:rsidRDefault="0048475E" w:rsidP="00F617D7">
            <w:pPr>
              <w:rPr>
                <w:rFonts w:ascii="Times New Roman" w:hAnsi="Times New Roman" w:cs="Times New Roman"/>
                <w:sz w:val="24"/>
                <w:szCs w:val="24"/>
              </w:rPr>
            </w:pPr>
            <w:r>
              <w:rPr>
                <w:rFonts w:ascii="Times New Roman" w:hAnsi="Times New Roman" w:cs="Times New Roman"/>
                <w:sz w:val="24"/>
                <w:szCs w:val="24"/>
              </w:rPr>
              <w:t>Community Coordination</w:t>
            </w:r>
          </w:p>
        </w:tc>
      </w:tr>
      <w:tr w:rsidR="00615506" w:rsidRPr="00BF5130" w14:paraId="7FCC07EF" w14:textId="77777777" w:rsidTr="007B7F06">
        <w:tc>
          <w:tcPr>
            <w:tcW w:w="1435" w:type="dxa"/>
          </w:tcPr>
          <w:p w14:paraId="1E277B46" w14:textId="3991F845" w:rsidR="00615506" w:rsidRPr="00510524" w:rsidRDefault="00947411" w:rsidP="00F617D7">
            <w:pPr>
              <w:rPr>
                <w:rFonts w:ascii="Times New Roman" w:hAnsi="Times New Roman" w:cs="Times New Roman"/>
                <w:sz w:val="24"/>
                <w:szCs w:val="24"/>
              </w:rPr>
            </w:pPr>
            <w:r>
              <w:rPr>
                <w:rFonts w:ascii="Times New Roman" w:hAnsi="Times New Roman" w:cs="Times New Roman"/>
                <w:sz w:val="24"/>
                <w:szCs w:val="24"/>
              </w:rPr>
              <w:t>34</w:t>
            </w:r>
          </w:p>
        </w:tc>
        <w:tc>
          <w:tcPr>
            <w:tcW w:w="5130" w:type="dxa"/>
          </w:tcPr>
          <w:p w14:paraId="6BB0FC4D" w14:textId="49021803" w:rsidR="00615506" w:rsidRPr="00BF5130" w:rsidRDefault="00947411" w:rsidP="00F617D7">
            <w:pPr>
              <w:rPr>
                <w:rFonts w:ascii="Times New Roman" w:hAnsi="Times New Roman" w:cs="Times New Roman"/>
                <w:sz w:val="24"/>
                <w:szCs w:val="24"/>
              </w:rPr>
            </w:pPr>
            <w:r>
              <w:rPr>
                <w:rFonts w:ascii="Times New Roman" w:hAnsi="Times New Roman" w:cs="Times New Roman"/>
                <w:sz w:val="24"/>
                <w:szCs w:val="24"/>
              </w:rPr>
              <w:t>Coordination to serve sub-populations</w:t>
            </w:r>
          </w:p>
        </w:tc>
      </w:tr>
      <w:tr w:rsidR="007B7F06" w:rsidRPr="00BF5130" w14:paraId="26C9CF69" w14:textId="77777777" w:rsidTr="007B7F06">
        <w:tc>
          <w:tcPr>
            <w:tcW w:w="1435" w:type="dxa"/>
          </w:tcPr>
          <w:p w14:paraId="751F2BD3" w14:textId="63CFFEFD" w:rsidR="007B7F06" w:rsidRPr="00BF5130" w:rsidRDefault="007B7F06" w:rsidP="00F617D7">
            <w:pPr>
              <w:rPr>
                <w:rFonts w:ascii="Times New Roman" w:hAnsi="Times New Roman" w:cs="Times New Roman"/>
                <w:b/>
                <w:bCs/>
                <w:sz w:val="24"/>
                <w:szCs w:val="24"/>
              </w:rPr>
            </w:pPr>
            <w:r w:rsidRPr="00BF5130">
              <w:rPr>
                <w:rFonts w:ascii="Times New Roman" w:hAnsi="Times New Roman" w:cs="Times New Roman"/>
                <w:b/>
                <w:bCs/>
                <w:sz w:val="24"/>
                <w:szCs w:val="24"/>
              </w:rPr>
              <w:t>200 total</w:t>
            </w:r>
          </w:p>
        </w:tc>
        <w:tc>
          <w:tcPr>
            <w:tcW w:w="5130" w:type="dxa"/>
          </w:tcPr>
          <w:p w14:paraId="47E13C0E" w14:textId="77777777" w:rsidR="007B7F06" w:rsidRPr="00BF5130" w:rsidRDefault="007B7F06" w:rsidP="00F617D7">
            <w:pPr>
              <w:rPr>
                <w:rFonts w:ascii="Times New Roman" w:hAnsi="Times New Roman" w:cs="Times New Roman"/>
                <w:sz w:val="24"/>
                <w:szCs w:val="24"/>
              </w:rPr>
            </w:pPr>
          </w:p>
        </w:tc>
      </w:tr>
    </w:tbl>
    <w:p w14:paraId="18B8D907" w14:textId="77777777" w:rsidR="00615506" w:rsidRDefault="00615506" w:rsidP="00F617D7">
      <w:pPr>
        <w:rPr>
          <w:rFonts w:ascii="Times New Roman" w:hAnsi="Times New Roman" w:cs="Times New Roman"/>
          <w:sz w:val="24"/>
          <w:szCs w:val="24"/>
        </w:rPr>
      </w:pPr>
    </w:p>
    <w:p w14:paraId="026A93F2" w14:textId="1FB6FF15" w:rsidR="003B50C7" w:rsidRDefault="009774B3" w:rsidP="00E33D03">
      <w:pPr>
        <w:pStyle w:val="Default"/>
        <w:rPr>
          <w:rFonts w:ascii="Times New Roman" w:hAnsi="Times New Roman" w:cs="Times New Roman"/>
          <w:b/>
          <w:bCs/>
          <w:i/>
          <w:iCs/>
          <w:u w:val="single"/>
        </w:rPr>
      </w:pPr>
      <w:r>
        <w:rPr>
          <w:rFonts w:ascii="Times New Roman" w:hAnsi="Times New Roman" w:cs="Times New Roman"/>
          <w:b/>
          <w:bCs/>
          <w:i/>
          <w:iCs/>
          <w:u w:val="single"/>
        </w:rPr>
        <w:t>1</w:t>
      </w:r>
      <w:r w:rsidR="008450B5" w:rsidRPr="00B86D87">
        <w:rPr>
          <w:rFonts w:ascii="Times New Roman" w:hAnsi="Times New Roman" w:cs="Times New Roman"/>
          <w:b/>
          <w:bCs/>
          <w:i/>
          <w:iCs/>
          <w:u w:val="single"/>
        </w:rPr>
        <w:t>. Project Capacity, Review, and Ranking</w:t>
      </w:r>
      <w:r w:rsidR="00B86D87">
        <w:rPr>
          <w:rFonts w:ascii="Times New Roman" w:hAnsi="Times New Roman" w:cs="Times New Roman"/>
          <w:b/>
          <w:bCs/>
          <w:i/>
          <w:iCs/>
          <w:u w:val="single"/>
        </w:rPr>
        <w:t xml:space="preserve"> </w:t>
      </w:r>
      <w:r w:rsidR="003B50C7" w:rsidRPr="003B50C7">
        <w:rPr>
          <w:rFonts w:ascii="Times New Roman" w:hAnsi="Times New Roman" w:cs="Times New Roman"/>
          <w:b/>
          <w:bCs/>
          <w:i/>
          <w:iCs/>
        </w:rPr>
        <w:t>(up to 14 points)</w:t>
      </w:r>
    </w:p>
    <w:p w14:paraId="35A55975" w14:textId="6A455F6C" w:rsidR="008450B5" w:rsidRDefault="008450B5" w:rsidP="00E33D03">
      <w:pPr>
        <w:pStyle w:val="Default"/>
        <w:rPr>
          <w:rFonts w:ascii="Times New Roman" w:hAnsi="Times New Roman" w:cs="Times New Roman"/>
          <w:i/>
          <w:iCs/>
          <w:sz w:val="22"/>
          <w:szCs w:val="22"/>
        </w:rPr>
      </w:pPr>
      <w:r w:rsidRPr="00B86D87">
        <w:rPr>
          <w:rFonts w:ascii="Times New Roman" w:hAnsi="Times New Roman" w:cs="Times New Roman"/>
          <w:sz w:val="22"/>
          <w:szCs w:val="22"/>
        </w:rPr>
        <w:t xml:space="preserve">HUD will award up to 14 points to CoCs that demonstrate the existence of a coordinated, inclusive, and outcome-oriented community process for the solicitation, objective review, ranking, and selection of project applications. </w:t>
      </w:r>
      <w:r w:rsidR="003B50C7">
        <w:rPr>
          <w:rFonts w:ascii="Times New Roman" w:hAnsi="Times New Roman" w:cs="Times New Roman"/>
          <w:sz w:val="22"/>
          <w:szCs w:val="22"/>
        </w:rPr>
        <w:t>(</w:t>
      </w:r>
      <w:r w:rsidRPr="003B50C7">
        <w:rPr>
          <w:rFonts w:ascii="Times New Roman" w:hAnsi="Times New Roman" w:cs="Times New Roman"/>
          <w:i/>
          <w:iCs/>
          <w:sz w:val="22"/>
          <w:szCs w:val="22"/>
        </w:rPr>
        <w:t>Objective Criteria and System Performance. Ranking and Selection Process. Reallocation</w:t>
      </w:r>
      <w:r w:rsidR="003B50C7">
        <w:rPr>
          <w:rFonts w:ascii="Times New Roman" w:hAnsi="Times New Roman" w:cs="Times New Roman"/>
          <w:i/>
          <w:iCs/>
          <w:sz w:val="22"/>
          <w:szCs w:val="22"/>
        </w:rPr>
        <w:t>)</w:t>
      </w:r>
    </w:p>
    <w:p w14:paraId="75977371" w14:textId="77777777" w:rsidR="003B50C7" w:rsidRPr="003B50C7" w:rsidRDefault="003B50C7" w:rsidP="00E33D03">
      <w:pPr>
        <w:pStyle w:val="Default"/>
        <w:rPr>
          <w:rFonts w:ascii="Times New Roman" w:hAnsi="Times New Roman" w:cs="Times New Roman"/>
          <w:sz w:val="22"/>
          <w:szCs w:val="22"/>
        </w:rPr>
      </w:pPr>
    </w:p>
    <w:p w14:paraId="7A3F481F" w14:textId="386DE05F" w:rsidR="003B50C7" w:rsidRDefault="009774B3" w:rsidP="00B86D87">
      <w:pPr>
        <w:pStyle w:val="Default"/>
        <w:rPr>
          <w:rFonts w:ascii="Times New Roman" w:hAnsi="Times New Roman" w:cs="Times New Roman"/>
          <w:b/>
          <w:bCs/>
          <w:i/>
          <w:iCs/>
          <w:sz w:val="22"/>
          <w:szCs w:val="22"/>
        </w:rPr>
      </w:pPr>
      <w:r>
        <w:rPr>
          <w:rFonts w:ascii="Times New Roman" w:hAnsi="Times New Roman" w:cs="Times New Roman"/>
          <w:b/>
          <w:bCs/>
          <w:i/>
          <w:iCs/>
          <w:u w:val="single"/>
        </w:rPr>
        <w:t>2</w:t>
      </w:r>
      <w:r w:rsidR="00B86D87" w:rsidRPr="00B86D87">
        <w:rPr>
          <w:rFonts w:ascii="Times New Roman" w:hAnsi="Times New Roman" w:cs="Times New Roman"/>
          <w:b/>
          <w:bCs/>
          <w:i/>
          <w:iCs/>
          <w:u w:val="single"/>
        </w:rPr>
        <w:t>. System Performanc</w:t>
      </w:r>
      <w:r w:rsidR="00B86D87">
        <w:rPr>
          <w:rFonts w:ascii="Times New Roman" w:hAnsi="Times New Roman" w:cs="Times New Roman"/>
          <w:b/>
          <w:bCs/>
          <w:i/>
          <w:iCs/>
          <w:u w:val="single"/>
        </w:rPr>
        <w:t>e</w:t>
      </w:r>
      <w:r w:rsidR="00B86D87" w:rsidRPr="00B86D87">
        <w:rPr>
          <w:rFonts w:ascii="Times New Roman" w:hAnsi="Times New Roman" w:cs="Times New Roman"/>
          <w:b/>
          <w:bCs/>
          <w:i/>
          <w:iCs/>
          <w:sz w:val="22"/>
          <w:szCs w:val="22"/>
        </w:rPr>
        <w:t xml:space="preserve"> </w:t>
      </w:r>
      <w:r w:rsidR="003B50C7">
        <w:rPr>
          <w:rFonts w:ascii="Times New Roman" w:hAnsi="Times New Roman" w:cs="Times New Roman"/>
          <w:b/>
          <w:bCs/>
          <w:i/>
          <w:iCs/>
          <w:sz w:val="22"/>
          <w:szCs w:val="22"/>
        </w:rPr>
        <w:t>(up to 64 points)</w:t>
      </w:r>
    </w:p>
    <w:p w14:paraId="1EE31007" w14:textId="540C6303" w:rsidR="00B86D87" w:rsidRPr="00B86D87" w:rsidRDefault="00B86D87" w:rsidP="00B86D87">
      <w:pPr>
        <w:pStyle w:val="Default"/>
        <w:rPr>
          <w:rFonts w:ascii="Times New Roman" w:hAnsi="Times New Roman" w:cs="Times New Roman"/>
          <w:sz w:val="22"/>
          <w:szCs w:val="22"/>
        </w:rPr>
      </w:pPr>
      <w:r w:rsidRPr="00B86D87">
        <w:rPr>
          <w:rFonts w:ascii="Times New Roman" w:hAnsi="Times New Roman" w:cs="Times New Roman"/>
          <w:sz w:val="22"/>
          <w:szCs w:val="22"/>
        </w:rPr>
        <w:t>HUD will award up to 64 points to CoCs that have a CoC system-wide performance measurement process related to reducing homelessness.</w:t>
      </w:r>
    </w:p>
    <w:p w14:paraId="1523B4D9" w14:textId="25FC2B90" w:rsidR="009774B3" w:rsidRDefault="003B50C7" w:rsidP="00793C16">
      <w:pPr>
        <w:pStyle w:val="Default"/>
        <w:rPr>
          <w:rFonts w:ascii="Times New Roman" w:hAnsi="Times New Roman" w:cs="Times New Roman"/>
          <w:i/>
          <w:iCs/>
          <w:sz w:val="22"/>
          <w:szCs w:val="22"/>
        </w:rPr>
      </w:pPr>
      <w:r>
        <w:rPr>
          <w:rFonts w:ascii="Times New Roman" w:hAnsi="Times New Roman" w:cs="Times New Roman"/>
          <w:i/>
          <w:iCs/>
          <w:sz w:val="22"/>
          <w:szCs w:val="22"/>
        </w:rPr>
        <w:t>(</w:t>
      </w:r>
      <w:r w:rsidR="00B86D87" w:rsidRPr="008D1376">
        <w:rPr>
          <w:rFonts w:ascii="Times New Roman" w:hAnsi="Times New Roman" w:cs="Times New Roman"/>
          <w:i/>
          <w:iCs/>
          <w:sz w:val="22"/>
          <w:szCs w:val="22"/>
        </w:rPr>
        <w:t>Reducing the Number of Homeless Individuals and Families. Reduce Encampments</w:t>
      </w:r>
      <w:r w:rsidRPr="008D1376">
        <w:rPr>
          <w:rFonts w:ascii="Times New Roman" w:hAnsi="Times New Roman" w:cs="Times New Roman"/>
          <w:i/>
          <w:iCs/>
          <w:sz w:val="22"/>
          <w:szCs w:val="22"/>
        </w:rPr>
        <w:t>. Reduce</w:t>
      </w:r>
      <w:r w:rsidR="00B86D87" w:rsidRPr="008D1376">
        <w:rPr>
          <w:rFonts w:ascii="Times New Roman" w:hAnsi="Times New Roman" w:cs="Times New Roman"/>
          <w:i/>
          <w:iCs/>
          <w:sz w:val="22"/>
          <w:szCs w:val="22"/>
        </w:rPr>
        <w:t xml:space="preserve"> First Time Homelessness.  Length of Time Homeless. Successful Exits from Assistance. Returns to Homelessness. Jobs and Income Growth. Timely Submission of Data. HMIS and Comparable Database Participation.  Tracking Participant Outcomes in HMIS and Comparable Databases. Unit Utilization Rate</w:t>
      </w:r>
      <w:r>
        <w:rPr>
          <w:rFonts w:ascii="Times New Roman" w:hAnsi="Times New Roman" w:cs="Times New Roman"/>
          <w:i/>
          <w:iCs/>
          <w:sz w:val="22"/>
          <w:szCs w:val="22"/>
        </w:rPr>
        <w:t>s)</w:t>
      </w:r>
      <w:r w:rsidR="00B86D87" w:rsidRPr="008D1376">
        <w:rPr>
          <w:rFonts w:ascii="Times New Roman" w:hAnsi="Times New Roman" w:cs="Times New Roman"/>
          <w:i/>
          <w:iCs/>
          <w:sz w:val="22"/>
          <w:szCs w:val="22"/>
        </w:rPr>
        <w:t xml:space="preserve"> </w:t>
      </w:r>
    </w:p>
    <w:p w14:paraId="23AD8D24" w14:textId="77777777" w:rsidR="003B50C7" w:rsidRPr="008D1376" w:rsidRDefault="003B50C7" w:rsidP="00793C16">
      <w:pPr>
        <w:pStyle w:val="Default"/>
        <w:rPr>
          <w:rFonts w:ascii="Times New Roman" w:hAnsi="Times New Roman" w:cs="Times New Roman"/>
          <w:i/>
          <w:iCs/>
          <w:sz w:val="22"/>
          <w:szCs w:val="22"/>
        </w:rPr>
      </w:pPr>
    </w:p>
    <w:p w14:paraId="41B0562D" w14:textId="126F9EC1" w:rsidR="003311A9" w:rsidRDefault="009774B3" w:rsidP="00793C16">
      <w:pPr>
        <w:pStyle w:val="Default"/>
        <w:rPr>
          <w:rFonts w:ascii="Times New Roman" w:hAnsi="Times New Roman" w:cs="Times New Roman"/>
          <w:b/>
          <w:bCs/>
          <w:i/>
          <w:iCs/>
          <w:sz w:val="22"/>
          <w:szCs w:val="22"/>
        </w:rPr>
      </w:pPr>
      <w:r>
        <w:rPr>
          <w:rFonts w:ascii="Times New Roman" w:hAnsi="Times New Roman" w:cs="Times New Roman"/>
          <w:b/>
          <w:bCs/>
          <w:i/>
          <w:iCs/>
          <w:u w:val="single"/>
        </w:rPr>
        <w:t>3</w:t>
      </w:r>
      <w:r w:rsidR="00793C16" w:rsidRPr="00793C16">
        <w:rPr>
          <w:rFonts w:ascii="Times New Roman" w:hAnsi="Times New Roman" w:cs="Times New Roman"/>
          <w:b/>
          <w:bCs/>
          <w:i/>
          <w:iCs/>
          <w:u w:val="single"/>
        </w:rPr>
        <w:t>. CoC Coordination and Engagement</w:t>
      </w:r>
      <w:r w:rsidR="00793C16" w:rsidRPr="00793C16">
        <w:rPr>
          <w:rFonts w:ascii="Times New Roman" w:hAnsi="Times New Roman" w:cs="Times New Roman"/>
          <w:b/>
          <w:bCs/>
          <w:i/>
          <w:iCs/>
          <w:sz w:val="22"/>
          <w:szCs w:val="22"/>
        </w:rPr>
        <w:t xml:space="preserve"> </w:t>
      </w:r>
      <w:r w:rsidR="003311A9">
        <w:rPr>
          <w:rFonts w:ascii="Times New Roman" w:hAnsi="Times New Roman" w:cs="Times New Roman"/>
          <w:b/>
          <w:bCs/>
          <w:i/>
          <w:iCs/>
          <w:sz w:val="22"/>
          <w:szCs w:val="22"/>
        </w:rPr>
        <w:t>(up to 122 points)</w:t>
      </w:r>
    </w:p>
    <w:p w14:paraId="2F384BD8" w14:textId="43662BEF" w:rsidR="00793C16" w:rsidRPr="00FC5C28" w:rsidRDefault="00793C16" w:rsidP="00793C16">
      <w:pPr>
        <w:pStyle w:val="Default"/>
        <w:rPr>
          <w:rFonts w:ascii="Times New Roman" w:hAnsi="Times New Roman" w:cs="Times New Roman"/>
          <w:b/>
          <w:bCs/>
          <w:i/>
          <w:iCs/>
          <w:sz w:val="22"/>
          <w:szCs w:val="22"/>
        </w:rPr>
      </w:pPr>
      <w:r w:rsidRPr="00793C16">
        <w:rPr>
          <w:rFonts w:ascii="Times New Roman" w:hAnsi="Times New Roman" w:cs="Times New Roman"/>
          <w:sz w:val="22"/>
          <w:szCs w:val="22"/>
        </w:rPr>
        <w:t>HUD will award up to 122 points to CoCs that demonstrate coordination with other systems of care that serve homeless individuals and families.</w:t>
      </w:r>
    </w:p>
    <w:p w14:paraId="14D05FC4" w14:textId="77777777" w:rsidR="00D21669" w:rsidRDefault="00793C16" w:rsidP="00960EA6">
      <w:pPr>
        <w:pStyle w:val="Default"/>
        <w:rPr>
          <w:rFonts w:ascii="Times New Roman" w:hAnsi="Times New Roman" w:cs="Times New Roman"/>
          <w:i/>
          <w:iCs/>
        </w:rPr>
      </w:pPr>
      <w:r w:rsidRPr="001650BF">
        <w:rPr>
          <w:rFonts w:ascii="Times New Roman" w:hAnsi="Times New Roman" w:cs="Times New Roman"/>
          <w:b/>
          <w:bCs/>
          <w:i/>
          <w:iCs/>
          <w:sz w:val="22"/>
          <w:szCs w:val="22"/>
        </w:rPr>
        <w:t>Accountable Structure and Planning (up to 16 points)</w:t>
      </w:r>
      <w:r w:rsidRPr="00793C16">
        <w:rPr>
          <w:rFonts w:ascii="Times New Roman" w:hAnsi="Times New Roman" w:cs="Times New Roman"/>
          <w:b/>
          <w:bCs/>
          <w:sz w:val="22"/>
          <w:szCs w:val="22"/>
        </w:rPr>
        <w:t xml:space="preserve"> </w:t>
      </w:r>
      <w:r w:rsidR="003B50C7">
        <w:rPr>
          <w:rFonts w:ascii="Times New Roman" w:hAnsi="Times New Roman" w:cs="Times New Roman"/>
          <w:i/>
          <w:iCs/>
        </w:rPr>
        <w:t>(</w:t>
      </w:r>
      <w:r w:rsidRPr="00680881">
        <w:rPr>
          <w:rFonts w:ascii="Times New Roman" w:hAnsi="Times New Roman" w:cs="Times New Roman"/>
          <w:i/>
          <w:iCs/>
          <w:sz w:val="22"/>
          <w:szCs w:val="22"/>
        </w:rPr>
        <w:t xml:space="preserve">Stakeholder Participation; Representative Governance Board; Transparent Processes; Comprehensive </w:t>
      </w:r>
      <w:r w:rsidR="00E33D03">
        <w:rPr>
          <w:rFonts w:ascii="Times New Roman" w:hAnsi="Times New Roman" w:cs="Times New Roman"/>
          <w:i/>
          <w:iCs/>
        </w:rPr>
        <w:t>s</w:t>
      </w:r>
      <w:r w:rsidRPr="00680881">
        <w:rPr>
          <w:rFonts w:ascii="Times New Roman" w:hAnsi="Times New Roman" w:cs="Times New Roman"/>
          <w:i/>
          <w:iCs/>
          <w:sz w:val="22"/>
          <w:szCs w:val="22"/>
        </w:rPr>
        <w:t>trategies</w:t>
      </w:r>
      <w:r w:rsidR="003B50C7">
        <w:rPr>
          <w:rFonts w:ascii="Times New Roman" w:hAnsi="Times New Roman" w:cs="Times New Roman"/>
          <w:i/>
          <w:iCs/>
        </w:rPr>
        <w:t>)</w:t>
      </w:r>
      <w:r w:rsidR="00960EA6">
        <w:rPr>
          <w:rFonts w:ascii="Times New Roman" w:hAnsi="Times New Roman" w:cs="Times New Roman"/>
          <w:i/>
          <w:iCs/>
        </w:rPr>
        <w:t xml:space="preserve"> </w:t>
      </w:r>
    </w:p>
    <w:p w14:paraId="5AEBC424" w14:textId="7B6CB7B4" w:rsidR="00A4528C" w:rsidRPr="00960EA6" w:rsidRDefault="00680881" w:rsidP="00960EA6">
      <w:pPr>
        <w:pStyle w:val="Default"/>
        <w:rPr>
          <w:rFonts w:ascii="Times New Roman" w:hAnsi="Times New Roman" w:cs="Times New Roman"/>
          <w:sz w:val="22"/>
          <w:szCs w:val="22"/>
        </w:rPr>
      </w:pPr>
      <w:r w:rsidRPr="001650BF">
        <w:rPr>
          <w:rFonts w:ascii="Times New Roman" w:hAnsi="Times New Roman" w:cs="Times New Roman"/>
          <w:b/>
          <w:bCs/>
          <w:i/>
          <w:iCs/>
          <w:sz w:val="22"/>
          <w:szCs w:val="22"/>
        </w:rPr>
        <w:t>Community Coordination. (up to 72 points)</w:t>
      </w:r>
      <w:r w:rsidRPr="00680881">
        <w:rPr>
          <w:rFonts w:ascii="Times New Roman" w:hAnsi="Times New Roman" w:cs="Times New Roman"/>
          <w:b/>
          <w:bCs/>
          <w:sz w:val="22"/>
          <w:szCs w:val="22"/>
        </w:rPr>
        <w:t xml:space="preserve"> </w:t>
      </w:r>
      <w:r w:rsidR="003B50C7">
        <w:rPr>
          <w:rFonts w:ascii="Times New Roman" w:hAnsi="Times New Roman" w:cs="Times New Roman"/>
          <w:i/>
          <w:iCs/>
          <w:sz w:val="22"/>
          <w:szCs w:val="22"/>
        </w:rPr>
        <w:t>(</w:t>
      </w:r>
      <w:r w:rsidRPr="00680881">
        <w:rPr>
          <w:rFonts w:ascii="Times New Roman" w:hAnsi="Times New Roman" w:cs="Times New Roman"/>
          <w:i/>
          <w:iCs/>
          <w:sz w:val="22"/>
          <w:szCs w:val="22"/>
        </w:rPr>
        <w:t xml:space="preserve">Treatment and Recovery Services. Investment in Supportive Services. Participation Requirements for Supportive Services. ESG Recipients and Emergency Shelter. Data Sharing for Improved Outcomes and Transparency. Employment and Workforce Development. Street Outreach, Law Enforcement and First Responders. Family or Support Network Reunification. Public Housing Agencies. </w:t>
      </w:r>
      <w:r w:rsidRPr="00680881">
        <w:rPr>
          <w:rFonts w:ascii="Times New Roman" w:hAnsi="Times New Roman" w:cs="Times New Roman"/>
          <w:sz w:val="22"/>
          <w:szCs w:val="22"/>
        </w:rPr>
        <w:t xml:space="preserve">Protecting Public Safety. </w:t>
      </w:r>
      <w:r w:rsidRPr="00680881">
        <w:rPr>
          <w:rFonts w:ascii="Times New Roman" w:hAnsi="Times New Roman" w:cs="Times New Roman"/>
          <w:i/>
          <w:iCs/>
          <w:sz w:val="22"/>
          <w:szCs w:val="22"/>
        </w:rPr>
        <w:t>Outreach</w:t>
      </w:r>
      <w:r w:rsidR="003B50C7">
        <w:rPr>
          <w:rFonts w:ascii="Times New Roman" w:hAnsi="Times New Roman" w:cs="Times New Roman"/>
          <w:i/>
          <w:iCs/>
          <w:sz w:val="22"/>
          <w:szCs w:val="22"/>
        </w:rPr>
        <w:t>)</w:t>
      </w:r>
    </w:p>
    <w:p w14:paraId="588CE83C" w14:textId="77777777" w:rsidR="00A4528C" w:rsidRDefault="00A4528C" w:rsidP="007A50A5">
      <w:pPr>
        <w:pStyle w:val="Default"/>
        <w:rPr>
          <w:rFonts w:ascii="Times New Roman" w:hAnsi="Times New Roman" w:cs="Times New Roman"/>
          <w:i/>
          <w:iCs/>
          <w:sz w:val="22"/>
          <w:szCs w:val="22"/>
        </w:rPr>
      </w:pPr>
    </w:p>
    <w:p w14:paraId="4FC4111B" w14:textId="1B58FBE4" w:rsidR="007A50A5" w:rsidRPr="00A4528C" w:rsidRDefault="009774B3" w:rsidP="007A50A5">
      <w:pPr>
        <w:pStyle w:val="Default"/>
        <w:rPr>
          <w:rFonts w:ascii="Times New Roman" w:hAnsi="Times New Roman" w:cs="Times New Roman"/>
          <w:i/>
          <w:iCs/>
          <w:sz w:val="22"/>
          <w:szCs w:val="22"/>
        </w:rPr>
      </w:pPr>
      <w:r w:rsidRPr="00FC5C28">
        <w:rPr>
          <w:rFonts w:ascii="Times New Roman" w:hAnsi="Times New Roman" w:cs="Times New Roman"/>
          <w:b/>
          <w:bCs/>
          <w:i/>
          <w:iCs/>
          <w:u w:val="single"/>
        </w:rPr>
        <w:t>4</w:t>
      </w:r>
      <w:r w:rsidR="007A50A5" w:rsidRPr="00FC5C28">
        <w:rPr>
          <w:rFonts w:ascii="Times New Roman" w:hAnsi="Times New Roman" w:cs="Times New Roman"/>
          <w:b/>
          <w:bCs/>
          <w:i/>
          <w:iCs/>
          <w:u w:val="single"/>
        </w:rPr>
        <w:t>.</w:t>
      </w:r>
      <w:r w:rsidRPr="00FC5C28">
        <w:rPr>
          <w:rFonts w:ascii="Times New Roman" w:hAnsi="Times New Roman" w:cs="Times New Roman"/>
          <w:b/>
          <w:bCs/>
          <w:i/>
          <w:iCs/>
          <w:u w:val="single"/>
        </w:rPr>
        <w:t xml:space="preserve"> </w:t>
      </w:r>
      <w:r w:rsidR="007A50A5" w:rsidRPr="00FC5C28">
        <w:rPr>
          <w:rFonts w:ascii="Times New Roman" w:hAnsi="Times New Roman" w:cs="Times New Roman"/>
          <w:b/>
          <w:bCs/>
          <w:i/>
          <w:iCs/>
          <w:u w:val="single"/>
        </w:rPr>
        <w:t>Coordination to Serve Subpopulations</w:t>
      </w:r>
      <w:r w:rsidR="007A50A5" w:rsidRPr="009774B3">
        <w:rPr>
          <w:rFonts w:ascii="Times New Roman" w:hAnsi="Times New Roman" w:cs="Times New Roman"/>
          <w:b/>
          <w:bCs/>
          <w:i/>
          <w:iCs/>
        </w:rPr>
        <w:t xml:space="preserve"> (up to 34 points) </w:t>
      </w:r>
    </w:p>
    <w:p w14:paraId="3577FE60" w14:textId="3065505F" w:rsidR="007A50A5" w:rsidRPr="007A50A5" w:rsidRDefault="003B50C7" w:rsidP="009774B3">
      <w:pPr>
        <w:pStyle w:val="Default"/>
        <w:rPr>
          <w:rFonts w:ascii="Times New Roman" w:hAnsi="Times New Roman" w:cs="Times New Roman"/>
          <w:i/>
          <w:iCs/>
          <w:sz w:val="22"/>
          <w:szCs w:val="22"/>
        </w:rPr>
      </w:pPr>
      <w:r>
        <w:rPr>
          <w:rFonts w:ascii="Times New Roman" w:hAnsi="Times New Roman" w:cs="Times New Roman"/>
          <w:i/>
          <w:iCs/>
          <w:sz w:val="22"/>
          <w:szCs w:val="22"/>
        </w:rPr>
        <w:t>(</w:t>
      </w:r>
      <w:r w:rsidR="007A50A5" w:rsidRPr="007A50A5">
        <w:rPr>
          <w:rFonts w:ascii="Times New Roman" w:hAnsi="Times New Roman" w:cs="Times New Roman"/>
          <w:i/>
          <w:iCs/>
          <w:sz w:val="22"/>
          <w:szCs w:val="22"/>
        </w:rPr>
        <w:t>Children and Youth. Families. Veterans. Survivors of Domestic Violence, Dating Violence, Sexual Assault, and Stalking. Justice System Re-entry. High Utilizers of Healthcare Systems. Aging and Elderly. Permanent Supportive Housing for Chronically Homeless Individuals and Families</w:t>
      </w:r>
      <w:r>
        <w:rPr>
          <w:rFonts w:ascii="Times New Roman" w:hAnsi="Times New Roman" w:cs="Times New Roman"/>
          <w:i/>
          <w:iCs/>
          <w:sz w:val="22"/>
          <w:szCs w:val="22"/>
        </w:rPr>
        <w:t>)</w:t>
      </w:r>
    </w:p>
    <w:p w14:paraId="3819640A" w14:textId="1FD06A75" w:rsidR="00793C16" w:rsidRDefault="00793C16" w:rsidP="00680881">
      <w:pPr>
        <w:pStyle w:val="ListParagraph"/>
        <w:rPr>
          <w:rFonts w:ascii="Times New Roman" w:hAnsi="Times New Roman" w:cs="Times New Roman"/>
        </w:rPr>
      </w:pPr>
    </w:p>
    <w:p w14:paraId="423CC4B8" w14:textId="77777777" w:rsidR="008D1376" w:rsidRPr="00680881" w:rsidRDefault="008D1376" w:rsidP="00680881">
      <w:pPr>
        <w:pStyle w:val="ListParagraph"/>
        <w:rPr>
          <w:rFonts w:ascii="Times New Roman" w:hAnsi="Times New Roman" w:cs="Times New Roman"/>
        </w:rPr>
      </w:pPr>
    </w:p>
    <w:p w14:paraId="548F499D" w14:textId="72EEE198" w:rsidR="00F617D7" w:rsidRPr="00BF5130" w:rsidRDefault="00F617D7" w:rsidP="00F617D7">
      <w:pPr>
        <w:rPr>
          <w:rFonts w:ascii="Times New Roman" w:hAnsi="Times New Roman" w:cs="Times New Roman"/>
          <w:b/>
          <w:bCs/>
          <w:sz w:val="24"/>
          <w:szCs w:val="24"/>
          <w:u w:val="single"/>
        </w:rPr>
      </w:pPr>
      <w:r w:rsidRPr="00B37C43">
        <w:rPr>
          <w:rFonts w:ascii="Times New Roman" w:hAnsi="Times New Roman" w:cs="Times New Roman"/>
          <w:b/>
          <w:bCs/>
          <w:sz w:val="24"/>
          <w:szCs w:val="24"/>
          <w:u w:val="single"/>
        </w:rPr>
        <w:lastRenderedPageBreak/>
        <w:t>Important links:</w:t>
      </w:r>
    </w:p>
    <w:p w14:paraId="1807E893" w14:textId="66FB5E1A" w:rsidR="00F617D7" w:rsidRPr="00C367D8" w:rsidRDefault="00F617D7" w:rsidP="007D22A1">
      <w:pPr>
        <w:rPr>
          <w:rFonts w:ascii="Times New Roman" w:hAnsi="Times New Roman" w:cs="Times New Roman"/>
        </w:rPr>
      </w:pPr>
      <w:r w:rsidRPr="00C367D8">
        <w:rPr>
          <w:rFonts w:ascii="Times New Roman" w:hAnsi="Times New Roman" w:cs="Times New Roman"/>
        </w:rPr>
        <w:t>Competition page:</w:t>
      </w:r>
      <w:r w:rsidR="005E53E9" w:rsidRPr="00C367D8">
        <w:rPr>
          <w:rFonts w:ascii="Times New Roman" w:hAnsi="Times New Roman" w:cs="Times New Roman"/>
        </w:rPr>
        <w:t xml:space="preserve"> </w:t>
      </w:r>
      <w:hyperlink r:id="rId12" w:history="1">
        <w:r w:rsidR="00C376E3" w:rsidRPr="00C367D8">
          <w:rPr>
            <w:rFonts w:ascii="Times New Roman" w:hAnsi="Times New Roman" w:cs="Times New Roman"/>
            <w:color w:val="0000FF"/>
            <w:u w:val="single"/>
          </w:rPr>
          <w:t>Search Results Detail | Grants.gov</w:t>
        </w:r>
      </w:hyperlink>
    </w:p>
    <w:p w14:paraId="6CC54DCF" w14:textId="306740A0" w:rsidR="00F617D7" w:rsidRPr="00C367D8" w:rsidRDefault="00F617D7" w:rsidP="007D22A1">
      <w:pPr>
        <w:rPr>
          <w:rFonts w:ascii="Times New Roman" w:hAnsi="Times New Roman" w:cs="Times New Roman"/>
          <w:color w:val="FF0000"/>
        </w:rPr>
      </w:pPr>
      <w:r w:rsidRPr="00C367D8">
        <w:rPr>
          <w:rFonts w:ascii="Times New Roman" w:hAnsi="Times New Roman" w:cs="Times New Roman"/>
        </w:rPr>
        <w:t xml:space="preserve">Hennepin County CoC website: </w:t>
      </w:r>
      <w:hyperlink r:id="rId13" w:anchor="grants-to-reduce-homelessness" w:history="1">
        <w:r w:rsidR="00D17FA8" w:rsidRPr="00C367D8">
          <w:rPr>
            <w:rFonts w:ascii="Times New Roman" w:hAnsi="Times New Roman" w:cs="Times New Roman"/>
            <w:color w:val="0000FF"/>
            <w:u w:val="single"/>
          </w:rPr>
          <w:t>Continuum of Care | Hennepin County</w:t>
        </w:r>
      </w:hyperlink>
    </w:p>
    <w:p w14:paraId="63D566B3" w14:textId="1DCA02F7" w:rsidR="007D22A1" w:rsidRPr="00C367D8" w:rsidRDefault="007D22A1" w:rsidP="007D22A1">
      <w:pPr>
        <w:rPr>
          <w:rFonts w:ascii="Times New Roman" w:eastAsia="Times New Roman" w:hAnsi="Times New Roman" w:cs="Times New Roman"/>
          <w:color w:val="000000"/>
        </w:rPr>
      </w:pPr>
      <w:r w:rsidRPr="00C367D8">
        <w:rPr>
          <w:rFonts w:ascii="Times New Roman" w:eastAsia="Times New Roman" w:hAnsi="Times New Roman" w:cs="Times New Roman"/>
          <w:color w:val="000000"/>
        </w:rPr>
        <w:t>Questions regarding the FY</w:t>
      </w:r>
      <w:r w:rsidR="00DE49B5" w:rsidRPr="00C367D8">
        <w:rPr>
          <w:rFonts w:ascii="Times New Roman" w:eastAsia="Times New Roman" w:hAnsi="Times New Roman" w:cs="Times New Roman"/>
          <w:color w:val="000000"/>
        </w:rPr>
        <w:t>2026</w:t>
      </w:r>
      <w:r w:rsidRPr="00C367D8">
        <w:rPr>
          <w:rFonts w:ascii="Times New Roman" w:eastAsia="Times New Roman" w:hAnsi="Times New Roman" w:cs="Times New Roman"/>
          <w:color w:val="000000"/>
        </w:rPr>
        <w:t xml:space="preserve"> CoC Program Competition process must be submitted to </w:t>
      </w:r>
      <w:hyperlink r:id="rId14" w:history="1">
        <w:r w:rsidRPr="00C367D8">
          <w:rPr>
            <w:rStyle w:val="Hyperlink"/>
            <w:rFonts w:ascii="Times New Roman" w:eastAsia="Times New Roman" w:hAnsi="Times New Roman" w:cs="Times New Roman"/>
            <w:color w:val="0563C1"/>
          </w:rPr>
          <w:t>CoCNOFO@hud.gov</w:t>
        </w:r>
      </w:hyperlink>
      <w:r w:rsidRPr="00C367D8">
        <w:rPr>
          <w:rFonts w:ascii="Times New Roman" w:eastAsia="Times New Roman" w:hAnsi="Times New Roman" w:cs="Times New Roman"/>
          <w:color w:val="000000"/>
        </w:rPr>
        <w:t>.</w:t>
      </w:r>
    </w:p>
    <w:p w14:paraId="67889AEF" w14:textId="625E559F" w:rsidR="007D22A1" w:rsidRPr="00C367D8" w:rsidRDefault="007D22A1" w:rsidP="007D22A1">
      <w:pPr>
        <w:rPr>
          <w:rFonts w:ascii="Times New Roman" w:eastAsia="Times New Roman" w:hAnsi="Times New Roman" w:cs="Times New Roman"/>
          <w:color w:val="000000"/>
        </w:rPr>
      </w:pPr>
      <w:r w:rsidRPr="00C367D8">
        <w:rPr>
          <w:rFonts w:ascii="Times New Roman" w:eastAsia="Times New Roman" w:hAnsi="Times New Roman" w:cs="Times New Roman"/>
          <w:color w:val="000000"/>
        </w:rPr>
        <w:t xml:space="preserve">Questions related to </w:t>
      </w:r>
      <w:proofErr w:type="spellStart"/>
      <w:r w:rsidRPr="00C367D8">
        <w:rPr>
          <w:rFonts w:ascii="Times New Roman" w:eastAsia="Times New Roman" w:hAnsi="Times New Roman" w:cs="Times New Roman"/>
          <w:i/>
          <w:iCs/>
          <w:color w:val="000000"/>
        </w:rPr>
        <w:t>e-snaps</w:t>
      </w:r>
      <w:proofErr w:type="spellEnd"/>
      <w:r w:rsidRPr="00C367D8">
        <w:rPr>
          <w:rFonts w:ascii="Times New Roman" w:eastAsia="Times New Roman" w:hAnsi="Times New Roman" w:cs="Times New Roman"/>
          <w:color w:val="000000"/>
        </w:rPr>
        <w:t xml:space="preserve"> functionality (e.g., password lockout, access to user’s application account, updating Applicant Profile) must be submitted to </w:t>
      </w:r>
      <w:hyperlink r:id="rId15" w:history="1">
        <w:r w:rsidRPr="00C367D8">
          <w:rPr>
            <w:rStyle w:val="Hyperlink"/>
            <w:rFonts w:ascii="Times New Roman" w:eastAsia="Times New Roman" w:hAnsi="Times New Roman" w:cs="Times New Roman"/>
            <w:color w:val="0563C1"/>
          </w:rPr>
          <w:t>e-snaps@hud.gov</w:t>
        </w:r>
      </w:hyperlink>
      <w:r w:rsidRPr="00C367D8">
        <w:rPr>
          <w:rFonts w:ascii="Times New Roman" w:eastAsia="Times New Roman" w:hAnsi="Times New Roman" w:cs="Times New Roman"/>
          <w:color w:val="000000"/>
        </w:rPr>
        <w:t>.</w:t>
      </w:r>
    </w:p>
    <w:p w14:paraId="6C9DC6CA" w14:textId="35F72305" w:rsidR="001C18F7" w:rsidRPr="00C367D8" w:rsidRDefault="008869BE" w:rsidP="00C66449">
      <w:pPr>
        <w:rPr>
          <w:rFonts w:ascii="Times New Roman" w:hAnsi="Times New Roman" w:cs="Times New Roman"/>
          <w:b/>
          <w:bCs/>
          <w:u w:val="single"/>
        </w:rPr>
      </w:pPr>
      <w:r w:rsidRPr="00C367D8">
        <w:rPr>
          <w:rFonts w:ascii="Times New Roman" w:hAnsi="Times New Roman" w:cs="Times New Roman"/>
          <w:b/>
          <w:bCs/>
          <w:u w:val="single"/>
        </w:rPr>
        <w:t xml:space="preserve">New and </w:t>
      </w:r>
      <w:r w:rsidR="00B15835" w:rsidRPr="00C367D8">
        <w:rPr>
          <w:rFonts w:ascii="Times New Roman" w:hAnsi="Times New Roman" w:cs="Times New Roman"/>
          <w:b/>
          <w:bCs/>
          <w:u w:val="single"/>
        </w:rPr>
        <w:t xml:space="preserve">Renewal Project </w:t>
      </w:r>
      <w:r w:rsidR="002A734E" w:rsidRPr="00C367D8">
        <w:rPr>
          <w:rFonts w:ascii="Times New Roman" w:hAnsi="Times New Roman" w:cs="Times New Roman"/>
          <w:b/>
          <w:bCs/>
          <w:u w:val="single"/>
        </w:rPr>
        <w:t xml:space="preserve">Eligibility </w:t>
      </w:r>
      <w:r w:rsidR="00B15835" w:rsidRPr="00C367D8">
        <w:rPr>
          <w:rFonts w:ascii="Times New Roman" w:hAnsi="Times New Roman" w:cs="Times New Roman"/>
          <w:b/>
          <w:bCs/>
          <w:u w:val="single"/>
        </w:rPr>
        <w:t>information</w:t>
      </w:r>
    </w:p>
    <w:p w14:paraId="180BDCE3" w14:textId="1B888339" w:rsidR="002A734E" w:rsidRPr="00BF5130" w:rsidRDefault="002A734E" w:rsidP="00A4528C">
      <w:pPr>
        <w:pStyle w:val="ListParagraph"/>
        <w:numPr>
          <w:ilvl w:val="0"/>
          <w:numId w:val="2"/>
        </w:numPr>
        <w:rPr>
          <w:rFonts w:ascii="Times New Roman" w:hAnsi="Times New Roman" w:cs="Times New Roman"/>
        </w:rPr>
      </w:pPr>
      <w:r w:rsidRPr="00BF5130">
        <w:rPr>
          <w:rFonts w:ascii="Times New Roman" w:hAnsi="Times New Roman" w:cs="Times New Roman"/>
        </w:rPr>
        <w:t>SAM Registration Requirement</w:t>
      </w:r>
    </w:p>
    <w:p w14:paraId="0D8A67F1" w14:textId="0B202CA4" w:rsidR="002A734E" w:rsidRPr="00BF5130" w:rsidRDefault="002A734E" w:rsidP="00A4528C">
      <w:pPr>
        <w:pStyle w:val="ListParagraph"/>
        <w:numPr>
          <w:ilvl w:val="0"/>
          <w:numId w:val="2"/>
        </w:numPr>
        <w:rPr>
          <w:rFonts w:ascii="Times New Roman" w:hAnsi="Times New Roman" w:cs="Times New Roman"/>
        </w:rPr>
      </w:pPr>
      <w:r w:rsidRPr="00BF5130">
        <w:rPr>
          <w:rFonts w:ascii="Times New Roman" w:hAnsi="Times New Roman" w:cs="Times New Roman"/>
        </w:rPr>
        <w:t>UEI Number requirement</w:t>
      </w:r>
    </w:p>
    <w:p w14:paraId="6C5D50FD" w14:textId="4D087051" w:rsidR="006F5F98" w:rsidRPr="00BF5130" w:rsidRDefault="006F5F98" w:rsidP="00A4528C">
      <w:pPr>
        <w:pStyle w:val="ListParagraph"/>
        <w:numPr>
          <w:ilvl w:val="0"/>
          <w:numId w:val="2"/>
        </w:numPr>
        <w:rPr>
          <w:rFonts w:ascii="Times New Roman" w:hAnsi="Times New Roman" w:cs="Times New Roman"/>
        </w:rPr>
      </w:pPr>
      <w:r w:rsidRPr="00BF5130">
        <w:rPr>
          <w:rFonts w:ascii="Times New Roman" w:hAnsi="Times New Roman" w:cs="Times New Roman"/>
        </w:rPr>
        <w:t xml:space="preserve">Faith based organizations may apply for this award, but cannot discriminate against </w:t>
      </w:r>
      <w:proofErr w:type="gramStart"/>
      <w:r w:rsidR="00C545AD" w:rsidRPr="00BF5130">
        <w:rPr>
          <w:rFonts w:ascii="Times New Roman" w:hAnsi="Times New Roman" w:cs="Times New Roman"/>
        </w:rPr>
        <w:t>organizations</w:t>
      </w:r>
      <w:proofErr w:type="gramEnd"/>
      <w:r w:rsidR="00C545AD" w:rsidRPr="00BF5130">
        <w:rPr>
          <w:rFonts w:ascii="Times New Roman" w:hAnsi="Times New Roman" w:cs="Times New Roman"/>
        </w:rPr>
        <w:t xml:space="preserve"> religious character, affiliation, or exercise.</w:t>
      </w:r>
    </w:p>
    <w:p w14:paraId="3D1F7189" w14:textId="5FE9765E" w:rsidR="008869BE" w:rsidRPr="002377C8" w:rsidRDefault="00394376" w:rsidP="00A4528C">
      <w:pPr>
        <w:pStyle w:val="ListParagraph"/>
        <w:numPr>
          <w:ilvl w:val="0"/>
          <w:numId w:val="2"/>
        </w:numPr>
        <w:rPr>
          <w:rFonts w:ascii="Times New Roman" w:hAnsi="Times New Roman" w:cs="Times New Roman"/>
        </w:rPr>
      </w:pPr>
      <w:r w:rsidRPr="00BF5130">
        <w:rPr>
          <w:rFonts w:ascii="Times New Roman" w:hAnsi="Times New Roman" w:cs="Times New Roman"/>
        </w:rPr>
        <w:t xml:space="preserve">Eligibility Requirements for HUD NOFO: Cannot have outstanding delinquent federal debt, debarments, and/or </w:t>
      </w:r>
      <w:r w:rsidR="00013B11" w:rsidRPr="00BF5130">
        <w:rPr>
          <w:rFonts w:ascii="Times New Roman" w:hAnsi="Times New Roman" w:cs="Times New Roman"/>
        </w:rPr>
        <w:t>suspensions</w:t>
      </w:r>
      <w:r w:rsidRPr="00BF5130">
        <w:rPr>
          <w:rFonts w:ascii="Times New Roman" w:hAnsi="Times New Roman" w:cs="Times New Roman"/>
        </w:rPr>
        <w:t>, pre-selection review of performance, sufficiency of financial management systems, false statements, mandatory disclosure requirements, Code of Conduct, Prohibition against lobbying activities</w:t>
      </w:r>
      <w:r w:rsidR="002377C8">
        <w:rPr>
          <w:rFonts w:ascii="Times New Roman" w:hAnsi="Times New Roman" w:cs="Times New Roman"/>
        </w:rPr>
        <w:t xml:space="preserve">, </w:t>
      </w:r>
      <w:r w:rsidR="008869BE" w:rsidRPr="002377C8">
        <w:rPr>
          <w:rFonts w:ascii="Times New Roman" w:hAnsi="Times New Roman" w:cs="Times New Roman"/>
        </w:rPr>
        <w:t>Resolution of any Civil Rights matters</w:t>
      </w:r>
    </w:p>
    <w:p w14:paraId="212D5F51" w14:textId="141E0769" w:rsidR="00B15835" w:rsidRPr="00BF5130" w:rsidRDefault="00E1546D" w:rsidP="00A4528C">
      <w:pPr>
        <w:pStyle w:val="ListParagraph"/>
        <w:numPr>
          <w:ilvl w:val="0"/>
          <w:numId w:val="2"/>
        </w:numPr>
        <w:rPr>
          <w:rFonts w:ascii="Times New Roman" w:hAnsi="Times New Roman" w:cs="Times New Roman"/>
        </w:rPr>
      </w:pPr>
      <w:r w:rsidRPr="00BF5130">
        <w:rPr>
          <w:rFonts w:ascii="Times New Roman" w:hAnsi="Times New Roman" w:cs="Times New Roman"/>
        </w:rPr>
        <w:t>25% match for all projects in required</w:t>
      </w:r>
      <w:r w:rsidR="00BA57DF">
        <w:rPr>
          <w:rFonts w:ascii="Times New Roman" w:hAnsi="Times New Roman" w:cs="Times New Roman"/>
        </w:rPr>
        <w:t xml:space="preserve"> – letter attached</w:t>
      </w:r>
      <w:r w:rsidR="007106BE">
        <w:rPr>
          <w:rFonts w:ascii="Times New Roman" w:hAnsi="Times New Roman" w:cs="Times New Roman"/>
        </w:rPr>
        <w:t xml:space="preserve"> to Project Application in </w:t>
      </w:r>
      <w:proofErr w:type="spellStart"/>
      <w:r w:rsidR="007106BE">
        <w:rPr>
          <w:rFonts w:ascii="Times New Roman" w:hAnsi="Times New Roman" w:cs="Times New Roman"/>
        </w:rPr>
        <w:t>e</w:t>
      </w:r>
      <w:r w:rsidR="007704A0">
        <w:rPr>
          <w:rFonts w:ascii="Times New Roman" w:hAnsi="Times New Roman" w:cs="Times New Roman"/>
        </w:rPr>
        <w:t>-s</w:t>
      </w:r>
      <w:r w:rsidR="007106BE">
        <w:rPr>
          <w:rFonts w:ascii="Times New Roman" w:hAnsi="Times New Roman" w:cs="Times New Roman"/>
        </w:rPr>
        <w:t>naps</w:t>
      </w:r>
      <w:proofErr w:type="spellEnd"/>
    </w:p>
    <w:p w14:paraId="05603FBC" w14:textId="4A8614C9" w:rsidR="002D17A6" w:rsidRPr="00BF5130" w:rsidRDefault="002D17A6" w:rsidP="00A4528C">
      <w:pPr>
        <w:pStyle w:val="ListParagraph"/>
        <w:numPr>
          <w:ilvl w:val="0"/>
          <w:numId w:val="2"/>
        </w:numPr>
        <w:rPr>
          <w:rFonts w:ascii="Times New Roman" w:hAnsi="Times New Roman" w:cs="Times New Roman"/>
        </w:rPr>
      </w:pPr>
      <w:r w:rsidRPr="00BF5130">
        <w:rPr>
          <w:rFonts w:ascii="Times New Roman" w:hAnsi="Times New Roman" w:cs="Times New Roman"/>
        </w:rPr>
        <w:t xml:space="preserve">Project application, charts, </w:t>
      </w:r>
      <w:r w:rsidR="00E67700" w:rsidRPr="00BF5130">
        <w:rPr>
          <w:rFonts w:ascii="Times New Roman" w:hAnsi="Times New Roman" w:cs="Times New Roman"/>
        </w:rPr>
        <w:t>narratives, attachments</w:t>
      </w:r>
    </w:p>
    <w:p w14:paraId="14D847A7" w14:textId="32D8F3BB" w:rsidR="00E67700" w:rsidRPr="00BF5130" w:rsidRDefault="00E67700" w:rsidP="00A4528C">
      <w:pPr>
        <w:pStyle w:val="ListParagraph"/>
        <w:numPr>
          <w:ilvl w:val="0"/>
          <w:numId w:val="2"/>
        </w:numPr>
        <w:rPr>
          <w:rFonts w:ascii="Times New Roman" w:hAnsi="Times New Roman" w:cs="Times New Roman"/>
        </w:rPr>
      </w:pPr>
      <w:r w:rsidRPr="00BF5130">
        <w:rPr>
          <w:rFonts w:ascii="Times New Roman" w:hAnsi="Times New Roman" w:cs="Times New Roman"/>
        </w:rPr>
        <w:t>Documentation of Applicant and Subrecipient eligibility</w:t>
      </w:r>
    </w:p>
    <w:p w14:paraId="480B10D2" w14:textId="2F1268C3" w:rsidR="00E67700" w:rsidRPr="00BF5130" w:rsidRDefault="00B9461A" w:rsidP="00A4528C">
      <w:pPr>
        <w:pStyle w:val="ListParagraph"/>
        <w:numPr>
          <w:ilvl w:val="0"/>
          <w:numId w:val="2"/>
        </w:numPr>
        <w:rPr>
          <w:rFonts w:ascii="Times New Roman" w:hAnsi="Times New Roman" w:cs="Times New Roman"/>
        </w:rPr>
      </w:pPr>
      <w:r w:rsidRPr="00BF5130">
        <w:rPr>
          <w:rFonts w:ascii="Times New Roman" w:hAnsi="Times New Roman" w:cs="Times New Roman"/>
        </w:rPr>
        <w:t>Applicant Code of Conduct</w:t>
      </w:r>
      <w:r w:rsidR="00260D59" w:rsidRPr="00BF5130">
        <w:rPr>
          <w:rFonts w:ascii="Times New Roman" w:hAnsi="Times New Roman" w:cs="Times New Roman"/>
        </w:rPr>
        <w:t xml:space="preserve"> – if the organizations Code of Conduct is </w:t>
      </w:r>
      <w:r w:rsidR="0077390D" w:rsidRPr="00BF5130">
        <w:rPr>
          <w:rFonts w:ascii="Times New Roman" w:hAnsi="Times New Roman" w:cs="Times New Roman"/>
        </w:rPr>
        <w:t xml:space="preserve">not on HUD’s website, the project must attach the Code of Conduct in </w:t>
      </w:r>
      <w:r w:rsidR="002A6114" w:rsidRPr="00BF5130">
        <w:rPr>
          <w:rFonts w:ascii="Times New Roman" w:hAnsi="Times New Roman" w:cs="Times New Roman"/>
        </w:rPr>
        <w:t xml:space="preserve">the Project Applicant Profile in </w:t>
      </w:r>
      <w:proofErr w:type="spellStart"/>
      <w:r w:rsidR="0077390D" w:rsidRPr="00BF5130">
        <w:rPr>
          <w:rFonts w:ascii="Times New Roman" w:hAnsi="Times New Roman" w:cs="Times New Roman"/>
        </w:rPr>
        <w:t>e</w:t>
      </w:r>
      <w:r w:rsidR="007704A0">
        <w:rPr>
          <w:rFonts w:ascii="Times New Roman" w:hAnsi="Times New Roman" w:cs="Times New Roman"/>
        </w:rPr>
        <w:t>-s</w:t>
      </w:r>
      <w:r w:rsidR="0077390D" w:rsidRPr="00BF5130">
        <w:rPr>
          <w:rFonts w:ascii="Times New Roman" w:hAnsi="Times New Roman" w:cs="Times New Roman"/>
        </w:rPr>
        <w:t>naps</w:t>
      </w:r>
      <w:proofErr w:type="spellEnd"/>
    </w:p>
    <w:p w14:paraId="71FC3894" w14:textId="5C866511" w:rsidR="00B9461A" w:rsidRPr="00BF5130" w:rsidRDefault="00B9461A" w:rsidP="00A4528C">
      <w:pPr>
        <w:pStyle w:val="ListParagraph"/>
        <w:numPr>
          <w:ilvl w:val="0"/>
          <w:numId w:val="2"/>
        </w:numPr>
        <w:rPr>
          <w:rFonts w:ascii="Times New Roman" w:hAnsi="Times New Roman" w:cs="Times New Roman"/>
        </w:rPr>
      </w:pPr>
      <w:r w:rsidRPr="00BF5130">
        <w:rPr>
          <w:rFonts w:ascii="Times New Roman" w:hAnsi="Times New Roman" w:cs="Times New Roman"/>
        </w:rPr>
        <w:t>SF-424</w:t>
      </w:r>
    </w:p>
    <w:p w14:paraId="2AE016CB" w14:textId="0AFC193C" w:rsidR="00B9461A" w:rsidRPr="00BF5130" w:rsidRDefault="00CB7C7B" w:rsidP="00A4528C">
      <w:pPr>
        <w:pStyle w:val="ListParagraph"/>
        <w:numPr>
          <w:ilvl w:val="0"/>
          <w:numId w:val="2"/>
        </w:numPr>
        <w:rPr>
          <w:rFonts w:ascii="Times New Roman" w:hAnsi="Times New Roman" w:cs="Times New Roman"/>
        </w:rPr>
      </w:pPr>
      <w:r w:rsidRPr="00BF5130">
        <w:rPr>
          <w:rFonts w:ascii="Times New Roman" w:hAnsi="Times New Roman" w:cs="Times New Roman"/>
        </w:rPr>
        <w:t>HUD-2880</w:t>
      </w:r>
    </w:p>
    <w:p w14:paraId="0460D7F6" w14:textId="7A69D960" w:rsidR="00CB7C7B" w:rsidRPr="00BF5130" w:rsidRDefault="00CB7C7B" w:rsidP="00A4528C">
      <w:pPr>
        <w:pStyle w:val="ListParagraph"/>
        <w:numPr>
          <w:ilvl w:val="0"/>
          <w:numId w:val="2"/>
        </w:numPr>
        <w:rPr>
          <w:rFonts w:ascii="Times New Roman" w:hAnsi="Times New Roman" w:cs="Times New Roman"/>
        </w:rPr>
      </w:pPr>
      <w:r w:rsidRPr="00BF5130">
        <w:rPr>
          <w:rFonts w:ascii="Times New Roman" w:hAnsi="Times New Roman" w:cs="Times New Roman"/>
        </w:rPr>
        <w:t>SF-LLL – Disclosure of Lobbying Activities</w:t>
      </w:r>
    </w:p>
    <w:p w14:paraId="4E6D6E5F" w14:textId="1C39040F" w:rsidR="00B9461A" w:rsidRPr="00BF5130" w:rsidRDefault="009B1F22" w:rsidP="00A4528C">
      <w:pPr>
        <w:pStyle w:val="ListParagraph"/>
        <w:numPr>
          <w:ilvl w:val="0"/>
          <w:numId w:val="2"/>
        </w:numPr>
        <w:rPr>
          <w:rFonts w:ascii="Times New Roman" w:hAnsi="Times New Roman" w:cs="Times New Roman"/>
        </w:rPr>
      </w:pPr>
      <w:r w:rsidRPr="00BF5130">
        <w:rPr>
          <w:rFonts w:ascii="Times New Roman" w:hAnsi="Times New Roman" w:cs="Times New Roman"/>
        </w:rPr>
        <w:t>HUD-50070 – Drug free workplace</w:t>
      </w:r>
    </w:p>
    <w:p w14:paraId="03EA4EC7" w14:textId="4985DB10" w:rsidR="004B2F39" w:rsidRPr="00BF5130" w:rsidRDefault="004134E5" w:rsidP="00A4528C">
      <w:pPr>
        <w:pStyle w:val="ListParagraph"/>
        <w:numPr>
          <w:ilvl w:val="0"/>
          <w:numId w:val="2"/>
        </w:numPr>
        <w:rPr>
          <w:rFonts w:ascii="Times New Roman" w:hAnsi="Times New Roman" w:cs="Times New Roman"/>
        </w:rPr>
      </w:pPr>
      <w:r w:rsidRPr="00BF5130">
        <w:rPr>
          <w:rFonts w:ascii="Times New Roman" w:hAnsi="Times New Roman" w:cs="Times New Roman"/>
        </w:rPr>
        <w:t>Applicant Certifications</w:t>
      </w:r>
    </w:p>
    <w:p w14:paraId="19E466CE" w14:textId="77777777" w:rsidR="00E23314" w:rsidRPr="00BF5130" w:rsidRDefault="00E23314">
      <w:pPr>
        <w:rPr>
          <w:rFonts w:ascii="Times New Roman" w:hAnsi="Times New Roman" w:cs="Times New Roman"/>
        </w:rPr>
      </w:pPr>
    </w:p>
    <w:sectPr w:rsidR="00E23314" w:rsidRPr="00BF513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D47E" w14:textId="77777777" w:rsidR="00C1560F" w:rsidRDefault="00C1560F" w:rsidP="00F6140B">
      <w:pPr>
        <w:spacing w:after="0" w:line="240" w:lineRule="auto"/>
      </w:pPr>
      <w:r>
        <w:separator/>
      </w:r>
    </w:p>
  </w:endnote>
  <w:endnote w:type="continuationSeparator" w:id="0">
    <w:p w14:paraId="49AB0E97" w14:textId="77777777" w:rsidR="00C1560F" w:rsidRDefault="00C1560F" w:rsidP="00F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52383"/>
      <w:docPartObj>
        <w:docPartGallery w:val="Page Numbers (Bottom of Page)"/>
        <w:docPartUnique/>
      </w:docPartObj>
    </w:sdtPr>
    <w:sdtEndPr>
      <w:rPr>
        <w:color w:val="7F7F7F" w:themeColor="background1" w:themeShade="7F"/>
        <w:spacing w:val="60"/>
      </w:rPr>
    </w:sdtEndPr>
    <w:sdtContent>
      <w:p w14:paraId="015F943C" w14:textId="77777777" w:rsidR="00BB1F97" w:rsidRDefault="00BB1F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D0F4F" w:rsidRPr="00FD0F4F">
          <w:rPr>
            <w:b/>
            <w:bCs/>
            <w:noProof/>
          </w:rPr>
          <w:t>5</w:t>
        </w:r>
        <w:r>
          <w:rPr>
            <w:b/>
            <w:bCs/>
            <w:noProof/>
          </w:rPr>
          <w:fldChar w:fldCharType="end"/>
        </w:r>
        <w:r>
          <w:rPr>
            <w:b/>
            <w:bCs/>
          </w:rPr>
          <w:t xml:space="preserve"> | </w:t>
        </w:r>
        <w:r>
          <w:rPr>
            <w:color w:val="7F7F7F" w:themeColor="background1" w:themeShade="7F"/>
            <w:spacing w:val="60"/>
          </w:rPr>
          <w:t>Page</w:t>
        </w:r>
      </w:p>
    </w:sdtContent>
  </w:sdt>
  <w:p w14:paraId="4AC6732D" w14:textId="77777777" w:rsidR="00BB1F97" w:rsidRDefault="00BB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978A" w14:textId="77777777" w:rsidR="00C1560F" w:rsidRDefault="00C1560F" w:rsidP="00F6140B">
      <w:pPr>
        <w:spacing w:after="0" w:line="240" w:lineRule="auto"/>
      </w:pPr>
      <w:r>
        <w:separator/>
      </w:r>
    </w:p>
  </w:footnote>
  <w:footnote w:type="continuationSeparator" w:id="0">
    <w:p w14:paraId="34867AD6" w14:textId="77777777" w:rsidR="00C1560F" w:rsidRDefault="00C1560F" w:rsidP="00F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4381"/>
      <w:docPartObj>
        <w:docPartGallery w:val="Watermarks"/>
        <w:docPartUnique/>
      </w:docPartObj>
    </w:sdtPr>
    <w:sdtContent>
      <w:p w14:paraId="078FDB6E" w14:textId="77777777" w:rsidR="00F6140B" w:rsidRDefault="00000000">
        <w:pPr>
          <w:pStyle w:val="Header"/>
        </w:pPr>
        <w:r>
          <w:rPr>
            <w:noProof/>
          </w:rPr>
          <w:pict w14:anchorId="22CF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7DB"/>
    <w:multiLevelType w:val="hybridMultilevel"/>
    <w:tmpl w:val="837E1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5F45"/>
    <w:multiLevelType w:val="hybridMultilevel"/>
    <w:tmpl w:val="6DE4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11D40"/>
    <w:multiLevelType w:val="hybridMultilevel"/>
    <w:tmpl w:val="6060AB16"/>
    <w:lvl w:ilvl="0" w:tplc="F4F043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43807"/>
    <w:multiLevelType w:val="hybridMultilevel"/>
    <w:tmpl w:val="1D2A500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06F95"/>
    <w:multiLevelType w:val="hybridMultilevel"/>
    <w:tmpl w:val="D382B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31731"/>
    <w:multiLevelType w:val="hybridMultilevel"/>
    <w:tmpl w:val="C88AFB5E"/>
    <w:lvl w:ilvl="0" w:tplc="E55ECF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832922">
    <w:abstractNumId w:val="3"/>
  </w:num>
  <w:num w:numId="2" w16cid:durableId="1437670438">
    <w:abstractNumId w:val="4"/>
  </w:num>
  <w:num w:numId="3" w16cid:durableId="737289516">
    <w:abstractNumId w:val="5"/>
  </w:num>
  <w:num w:numId="4" w16cid:durableId="636760734">
    <w:abstractNumId w:val="1"/>
  </w:num>
  <w:num w:numId="5" w16cid:durableId="228618020">
    <w:abstractNumId w:val="2"/>
  </w:num>
  <w:num w:numId="6" w16cid:durableId="12082243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14"/>
    <w:rsid w:val="00002B96"/>
    <w:rsid w:val="000040E6"/>
    <w:rsid w:val="000119CF"/>
    <w:rsid w:val="00013B11"/>
    <w:rsid w:val="00016373"/>
    <w:rsid w:val="0002125E"/>
    <w:rsid w:val="000218BF"/>
    <w:rsid w:val="000224F5"/>
    <w:rsid w:val="00026C72"/>
    <w:rsid w:val="0002736F"/>
    <w:rsid w:val="00027F2D"/>
    <w:rsid w:val="0003062E"/>
    <w:rsid w:val="000317CB"/>
    <w:rsid w:val="00031D14"/>
    <w:rsid w:val="0003403B"/>
    <w:rsid w:val="00034392"/>
    <w:rsid w:val="000401F8"/>
    <w:rsid w:val="000402A3"/>
    <w:rsid w:val="00044A27"/>
    <w:rsid w:val="00044B85"/>
    <w:rsid w:val="00045688"/>
    <w:rsid w:val="0005144C"/>
    <w:rsid w:val="00051622"/>
    <w:rsid w:val="00057725"/>
    <w:rsid w:val="00061D26"/>
    <w:rsid w:val="00065909"/>
    <w:rsid w:val="00067514"/>
    <w:rsid w:val="0006772E"/>
    <w:rsid w:val="000706C1"/>
    <w:rsid w:val="00071CFA"/>
    <w:rsid w:val="00073820"/>
    <w:rsid w:val="0007469A"/>
    <w:rsid w:val="000779D5"/>
    <w:rsid w:val="00080F31"/>
    <w:rsid w:val="00081A34"/>
    <w:rsid w:val="00085166"/>
    <w:rsid w:val="000929F4"/>
    <w:rsid w:val="00093E6F"/>
    <w:rsid w:val="000944CB"/>
    <w:rsid w:val="000A3DD7"/>
    <w:rsid w:val="000B3FE5"/>
    <w:rsid w:val="000B5105"/>
    <w:rsid w:val="000B6451"/>
    <w:rsid w:val="000B7DCB"/>
    <w:rsid w:val="000C3AB2"/>
    <w:rsid w:val="000D1934"/>
    <w:rsid w:val="000D19A0"/>
    <w:rsid w:val="000D67D7"/>
    <w:rsid w:val="000E36A6"/>
    <w:rsid w:val="000E4D6D"/>
    <w:rsid w:val="000E7193"/>
    <w:rsid w:val="000F0674"/>
    <w:rsid w:val="000F0D8B"/>
    <w:rsid w:val="000F5C65"/>
    <w:rsid w:val="00100142"/>
    <w:rsid w:val="00100F4B"/>
    <w:rsid w:val="00101DED"/>
    <w:rsid w:val="00104D0E"/>
    <w:rsid w:val="001054AA"/>
    <w:rsid w:val="0010792A"/>
    <w:rsid w:val="00110974"/>
    <w:rsid w:val="00116E8C"/>
    <w:rsid w:val="0011768F"/>
    <w:rsid w:val="00120D62"/>
    <w:rsid w:val="001211F4"/>
    <w:rsid w:val="00123354"/>
    <w:rsid w:val="00124DBD"/>
    <w:rsid w:val="00126DB5"/>
    <w:rsid w:val="00127DEA"/>
    <w:rsid w:val="00127F3B"/>
    <w:rsid w:val="00131F7D"/>
    <w:rsid w:val="0013443B"/>
    <w:rsid w:val="00144FB5"/>
    <w:rsid w:val="001450E5"/>
    <w:rsid w:val="00151CD3"/>
    <w:rsid w:val="00154737"/>
    <w:rsid w:val="00155675"/>
    <w:rsid w:val="001650BF"/>
    <w:rsid w:val="00166318"/>
    <w:rsid w:val="00170E9B"/>
    <w:rsid w:val="001765B9"/>
    <w:rsid w:val="00177976"/>
    <w:rsid w:val="001802C9"/>
    <w:rsid w:val="00184EBF"/>
    <w:rsid w:val="00187C67"/>
    <w:rsid w:val="00190353"/>
    <w:rsid w:val="00190584"/>
    <w:rsid w:val="0019389A"/>
    <w:rsid w:val="001944BA"/>
    <w:rsid w:val="001969ED"/>
    <w:rsid w:val="001A0044"/>
    <w:rsid w:val="001A7CC7"/>
    <w:rsid w:val="001B09CD"/>
    <w:rsid w:val="001B2F07"/>
    <w:rsid w:val="001B755D"/>
    <w:rsid w:val="001C1126"/>
    <w:rsid w:val="001C18F7"/>
    <w:rsid w:val="001C420C"/>
    <w:rsid w:val="001C52E7"/>
    <w:rsid w:val="001C7484"/>
    <w:rsid w:val="001D1D89"/>
    <w:rsid w:val="001D46B3"/>
    <w:rsid w:val="001D48D3"/>
    <w:rsid w:val="001D6262"/>
    <w:rsid w:val="001E0D8F"/>
    <w:rsid w:val="001E6FF0"/>
    <w:rsid w:val="001E7003"/>
    <w:rsid w:val="001F2BF7"/>
    <w:rsid w:val="001F49BB"/>
    <w:rsid w:val="001F75EF"/>
    <w:rsid w:val="002008CC"/>
    <w:rsid w:val="00200F15"/>
    <w:rsid w:val="002016AF"/>
    <w:rsid w:val="00205F2E"/>
    <w:rsid w:val="00214E93"/>
    <w:rsid w:val="00214FC2"/>
    <w:rsid w:val="0021519C"/>
    <w:rsid w:val="00215BC8"/>
    <w:rsid w:val="00222A71"/>
    <w:rsid w:val="00226C32"/>
    <w:rsid w:val="00236863"/>
    <w:rsid w:val="002377C8"/>
    <w:rsid w:val="00244D50"/>
    <w:rsid w:val="00252F9A"/>
    <w:rsid w:val="00253AEF"/>
    <w:rsid w:val="00253E05"/>
    <w:rsid w:val="002541E9"/>
    <w:rsid w:val="002549E9"/>
    <w:rsid w:val="00257121"/>
    <w:rsid w:val="00260D59"/>
    <w:rsid w:val="00261275"/>
    <w:rsid w:val="00263422"/>
    <w:rsid w:val="00263811"/>
    <w:rsid w:val="00270590"/>
    <w:rsid w:val="00273422"/>
    <w:rsid w:val="002747BB"/>
    <w:rsid w:val="00274FE1"/>
    <w:rsid w:val="002753D7"/>
    <w:rsid w:val="002767F7"/>
    <w:rsid w:val="00276EEF"/>
    <w:rsid w:val="00277E92"/>
    <w:rsid w:val="002801BA"/>
    <w:rsid w:val="002832ED"/>
    <w:rsid w:val="00284A72"/>
    <w:rsid w:val="00285C06"/>
    <w:rsid w:val="00287D4C"/>
    <w:rsid w:val="00290F62"/>
    <w:rsid w:val="002917D9"/>
    <w:rsid w:val="0029234F"/>
    <w:rsid w:val="002925EE"/>
    <w:rsid w:val="00293447"/>
    <w:rsid w:val="0029572C"/>
    <w:rsid w:val="00296AC7"/>
    <w:rsid w:val="002A18CA"/>
    <w:rsid w:val="002A4F49"/>
    <w:rsid w:val="002A6114"/>
    <w:rsid w:val="002A734E"/>
    <w:rsid w:val="002A74E1"/>
    <w:rsid w:val="002A76D0"/>
    <w:rsid w:val="002B635E"/>
    <w:rsid w:val="002C0B5C"/>
    <w:rsid w:val="002C0DDB"/>
    <w:rsid w:val="002C3856"/>
    <w:rsid w:val="002C5FF3"/>
    <w:rsid w:val="002C657F"/>
    <w:rsid w:val="002D1143"/>
    <w:rsid w:val="002D1468"/>
    <w:rsid w:val="002D17A6"/>
    <w:rsid w:val="002D2764"/>
    <w:rsid w:val="002D47C6"/>
    <w:rsid w:val="002D6AFE"/>
    <w:rsid w:val="002D7587"/>
    <w:rsid w:val="002E1BF0"/>
    <w:rsid w:val="002E1FE8"/>
    <w:rsid w:val="002E3359"/>
    <w:rsid w:val="002E39B7"/>
    <w:rsid w:val="002F2308"/>
    <w:rsid w:val="002F300A"/>
    <w:rsid w:val="002F3369"/>
    <w:rsid w:val="002F3821"/>
    <w:rsid w:val="002F4CD0"/>
    <w:rsid w:val="002F7205"/>
    <w:rsid w:val="00301048"/>
    <w:rsid w:val="003021E5"/>
    <w:rsid w:val="00305348"/>
    <w:rsid w:val="00306043"/>
    <w:rsid w:val="003107B4"/>
    <w:rsid w:val="00312914"/>
    <w:rsid w:val="003131F1"/>
    <w:rsid w:val="0031747A"/>
    <w:rsid w:val="003179A4"/>
    <w:rsid w:val="00320433"/>
    <w:rsid w:val="00330A6D"/>
    <w:rsid w:val="00330BD4"/>
    <w:rsid w:val="003311A9"/>
    <w:rsid w:val="00333208"/>
    <w:rsid w:val="00335BFB"/>
    <w:rsid w:val="0033605A"/>
    <w:rsid w:val="0033675F"/>
    <w:rsid w:val="00337911"/>
    <w:rsid w:val="0034489F"/>
    <w:rsid w:val="00344EE9"/>
    <w:rsid w:val="0035164B"/>
    <w:rsid w:val="00351855"/>
    <w:rsid w:val="00351FE3"/>
    <w:rsid w:val="0035297D"/>
    <w:rsid w:val="00354836"/>
    <w:rsid w:val="003558C5"/>
    <w:rsid w:val="00357D41"/>
    <w:rsid w:val="003601CC"/>
    <w:rsid w:val="003636FB"/>
    <w:rsid w:val="0036599C"/>
    <w:rsid w:val="00370D75"/>
    <w:rsid w:val="00373B25"/>
    <w:rsid w:val="00374A2D"/>
    <w:rsid w:val="00375A15"/>
    <w:rsid w:val="00377316"/>
    <w:rsid w:val="00383796"/>
    <w:rsid w:val="003839AB"/>
    <w:rsid w:val="00384492"/>
    <w:rsid w:val="00385134"/>
    <w:rsid w:val="00391E65"/>
    <w:rsid w:val="0039291A"/>
    <w:rsid w:val="00394376"/>
    <w:rsid w:val="003956F4"/>
    <w:rsid w:val="003A0A52"/>
    <w:rsid w:val="003A7ED7"/>
    <w:rsid w:val="003B4A94"/>
    <w:rsid w:val="003B50C7"/>
    <w:rsid w:val="003B68A0"/>
    <w:rsid w:val="003B7587"/>
    <w:rsid w:val="003C2795"/>
    <w:rsid w:val="003C377C"/>
    <w:rsid w:val="003C624F"/>
    <w:rsid w:val="003C7868"/>
    <w:rsid w:val="003D1381"/>
    <w:rsid w:val="003D16BB"/>
    <w:rsid w:val="003D5A45"/>
    <w:rsid w:val="003D5FAF"/>
    <w:rsid w:val="003D64E9"/>
    <w:rsid w:val="003D6FD4"/>
    <w:rsid w:val="003D7393"/>
    <w:rsid w:val="003E6E6C"/>
    <w:rsid w:val="003F0598"/>
    <w:rsid w:val="003F0F4A"/>
    <w:rsid w:val="003F0FA9"/>
    <w:rsid w:val="003F4B60"/>
    <w:rsid w:val="003F5B07"/>
    <w:rsid w:val="003F6C6D"/>
    <w:rsid w:val="003F77DA"/>
    <w:rsid w:val="004023AC"/>
    <w:rsid w:val="00404ECB"/>
    <w:rsid w:val="004122E6"/>
    <w:rsid w:val="00412D34"/>
    <w:rsid w:val="00412FCE"/>
    <w:rsid w:val="004134E5"/>
    <w:rsid w:val="0041515D"/>
    <w:rsid w:val="004207EC"/>
    <w:rsid w:val="0042262B"/>
    <w:rsid w:val="00423ADB"/>
    <w:rsid w:val="004270CB"/>
    <w:rsid w:val="00433E74"/>
    <w:rsid w:val="00434366"/>
    <w:rsid w:val="0043458D"/>
    <w:rsid w:val="004439B7"/>
    <w:rsid w:val="00443E06"/>
    <w:rsid w:val="004445C2"/>
    <w:rsid w:val="00445909"/>
    <w:rsid w:val="00445CA6"/>
    <w:rsid w:val="00446F94"/>
    <w:rsid w:val="0044761A"/>
    <w:rsid w:val="004478B0"/>
    <w:rsid w:val="00450049"/>
    <w:rsid w:val="004539F0"/>
    <w:rsid w:val="00453FB8"/>
    <w:rsid w:val="00454447"/>
    <w:rsid w:val="00454AFD"/>
    <w:rsid w:val="00455FC5"/>
    <w:rsid w:val="004578A8"/>
    <w:rsid w:val="004609B3"/>
    <w:rsid w:val="00463A2D"/>
    <w:rsid w:val="004660B1"/>
    <w:rsid w:val="004701B1"/>
    <w:rsid w:val="00482D85"/>
    <w:rsid w:val="004833C1"/>
    <w:rsid w:val="0048374F"/>
    <w:rsid w:val="0048475E"/>
    <w:rsid w:val="00484D37"/>
    <w:rsid w:val="00485AD2"/>
    <w:rsid w:val="00485EFD"/>
    <w:rsid w:val="00487289"/>
    <w:rsid w:val="00493AFF"/>
    <w:rsid w:val="004977C2"/>
    <w:rsid w:val="004A2704"/>
    <w:rsid w:val="004A2BF9"/>
    <w:rsid w:val="004A5ED8"/>
    <w:rsid w:val="004A6630"/>
    <w:rsid w:val="004A687A"/>
    <w:rsid w:val="004B2F39"/>
    <w:rsid w:val="004B3F61"/>
    <w:rsid w:val="004B4FC9"/>
    <w:rsid w:val="004B6BEF"/>
    <w:rsid w:val="004B6D43"/>
    <w:rsid w:val="004C0F1E"/>
    <w:rsid w:val="004C6235"/>
    <w:rsid w:val="004C6C52"/>
    <w:rsid w:val="004D14DB"/>
    <w:rsid w:val="004D1673"/>
    <w:rsid w:val="004D19AF"/>
    <w:rsid w:val="004D3A59"/>
    <w:rsid w:val="004E1FCA"/>
    <w:rsid w:val="004E30F5"/>
    <w:rsid w:val="004E3EA8"/>
    <w:rsid w:val="004E66A2"/>
    <w:rsid w:val="004E74CA"/>
    <w:rsid w:val="004E7943"/>
    <w:rsid w:val="004F287D"/>
    <w:rsid w:val="004F43F2"/>
    <w:rsid w:val="004F4542"/>
    <w:rsid w:val="004F4D8A"/>
    <w:rsid w:val="004F53F0"/>
    <w:rsid w:val="004F6D6F"/>
    <w:rsid w:val="00503379"/>
    <w:rsid w:val="005046CA"/>
    <w:rsid w:val="00504BA9"/>
    <w:rsid w:val="00510524"/>
    <w:rsid w:val="005106A9"/>
    <w:rsid w:val="00513CCF"/>
    <w:rsid w:val="00521978"/>
    <w:rsid w:val="00521B1B"/>
    <w:rsid w:val="005236C9"/>
    <w:rsid w:val="00523B86"/>
    <w:rsid w:val="005241F3"/>
    <w:rsid w:val="00524374"/>
    <w:rsid w:val="00526650"/>
    <w:rsid w:val="00532CEA"/>
    <w:rsid w:val="005337F5"/>
    <w:rsid w:val="00533958"/>
    <w:rsid w:val="00534CA5"/>
    <w:rsid w:val="00540814"/>
    <w:rsid w:val="005455B6"/>
    <w:rsid w:val="00545BDD"/>
    <w:rsid w:val="005468E4"/>
    <w:rsid w:val="00550156"/>
    <w:rsid w:val="00554AC4"/>
    <w:rsid w:val="005573F8"/>
    <w:rsid w:val="00557C4E"/>
    <w:rsid w:val="00557EA9"/>
    <w:rsid w:val="0056205D"/>
    <w:rsid w:val="00564B3C"/>
    <w:rsid w:val="005731C8"/>
    <w:rsid w:val="0057698C"/>
    <w:rsid w:val="00581E90"/>
    <w:rsid w:val="0058361B"/>
    <w:rsid w:val="00587A06"/>
    <w:rsid w:val="00592F64"/>
    <w:rsid w:val="0059446C"/>
    <w:rsid w:val="00597C66"/>
    <w:rsid w:val="005A48A0"/>
    <w:rsid w:val="005A4D39"/>
    <w:rsid w:val="005A50E6"/>
    <w:rsid w:val="005B1066"/>
    <w:rsid w:val="005B169B"/>
    <w:rsid w:val="005B3108"/>
    <w:rsid w:val="005B3BB4"/>
    <w:rsid w:val="005B42C5"/>
    <w:rsid w:val="005B44B4"/>
    <w:rsid w:val="005C5FB7"/>
    <w:rsid w:val="005C7B90"/>
    <w:rsid w:val="005D27A4"/>
    <w:rsid w:val="005D5ECB"/>
    <w:rsid w:val="005E1120"/>
    <w:rsid w:val="005E35F3"/>
    <w:rsid w:val="005E53E9"/>
    <w:rsid w:val="005E6639"/>
    <w:rsid w:val="005E779D"/>
    <w:rsid w:val="005F0F30"/>
    <w:rsid w:val="005F120F"/>
    <w:rsid w:val="005F21EB"/>
    <w:rsid w:val="005F2E57"/>
    <w:rsid w:val="005F58EC"/>
    <w:rsid w:val="005F6850"/>
    <w:rsid w:val="00602032"/>
    <w:rsid w:val="00604096"/>
    <w:rsid w:val="00604A2B"/>
    <w:rsid w:val="00613D7B"/>
    <w:rsid w:val="00615506"/>
    <w:rsid w:val="00615FFD"/>
    <w:rsid w:val="006175FC"/>
    <w:rsid w:val="00623973"/>
    <w:rsid w:val="00633345"/>
    <w:rsid w:val="00633948"/>
    <w:rsid w:val="00635096"/>
    <w:rsid w:val="00635F5E"/>
    <w:rsid w:val="00637A31"/>
    <w:rsid w:val="00642011"/>
    <w:rsid w:val="0064239A"/>
    <w:rsid w:val="00644ACF"/>
    <w:rsid w:val="00645846"/>
    <w:rsid w:val="006511B1"/>
    <w:rsid w:val="00651405"/>
    <w:rsid w:val="0065293E"/>
    <w:rsid w:val="00652E56"/>
    <w:rsid w:val="006567D4"/>
    <w:rsid w:val="00656DBC"/>
    <w:rsid w:val="0066424E"/>
    <w:rsid w:val="00670D94"/>
    <w:rsid w:val="00674252"/>
    <w:rsid w:val="00674949"/>
    <w:rsid w:val="006760EA"/>
    <w:rsid w:val="00676F2B"/>
    <w:rsid w:val="00680881"/>
    <w:rsid w:val="006816EB"/>
    <w:rsid w:val="0068617B"/>
    <w:rsid w:val="00686CC1"/>
    <w:rsid w:val="0068713F"/>
    <w:rsid w:val="00687181"/>
    <w:rsid w:val="006939B6"/>
    <w:rsid w:val="00695BC7"/>
    <w:rsid w:val="006960A2"/>
    <w:rsid w:val="006A0821"/>
    <w:rsid w:val="006B1AAF"/>
    <w:rsid w:val="006B3C05"/>
    <w:rsid w:val="006B3F6D"/>
    <w:rsid w:val="006B61E8"/>
    <w:rsid w:val="006C0E96"/>
    <w:rsid w:val="006C29EB"/>
    <w:rsid w:val="006C308B"/>
    <w:rsid w:val="006C3DC6"/>
    <w:rsid w:val="006C5497"/>
    <w:rsid w:val="006C6418"/>
    <w:rsid w:val="006D6159"/>
    <w:rsid w:val="006D75E4"/>
    <w:rsid w:val="006E0311"/>
    <w:rsid w:val="006E2296"/>
    <w:rsid w:val="006E27C5"/>
    <w:rsid w:val="006E2A58"/>
    <w:rsid w:val="006E43EB"/>
    <w:rsid w:val="006E4AC1"/>
    <w:rsid w:val="006E5591"/>
    <w:rsid w:val="006F2265"/>
    <w:rsid w:val="006F551D"/>
    <w:rsid w:val="006F5F98"/>
    <w:rsid w:val="00702749"/>
    <w:rsid w:val="00702A20"/>
    <w:rsid w:val="00703AB8"/>
    <w:rsid w:val="007106BE"/>
    <w:rsid w:val="007118FA"/>
    <w:rsid w:val="00712A90"/>
    <w:rsid w:val="00715EE2"/>
    <w:rsid w:val="0071634D"/>
    <w:rsid w:val="0071793E"/>
    <w:rsid w:val="00720FA4"/>
    <w:rsid w:val="00721931"/>
    <w:rsid w:val="007232B2"/>
    <w:rsid w:val="0072441E"/>
    <w:rsid w:val="00731514"/>
    <w:rsid w:val="0074147B"/>
    <w:rsid w:val="007465A5"/>
    <w:rsid w:val="00752862"/>
    <w:rsid w:val="007537AA"/>
    <w:rsid w:val="00755C5E"/>
    <w:rsid w:val="00756D4E"/>
    <w:rsid w:val="007609FA"/>
    <w:rsid w:val="00761833"/>
    <w:rsid w:val="007642EE"/>
    <w:rsid w:val="0076511E"/>
    <w:rsid w:val="0076596B"/>
    <w:rsid w:val="007679F2"/>
    <w:rsid w:val="0077046F"/>
    <w:rsid w:val="007704A0"/>
    <w:rsid w:val="0077236D"/>
    <w:rsid w:val="0077329D"/>
    <w:rsid w:val="0077390D"/>
    <w:rsid w:val="0077400A"/>
    <w:rsid w:val="00775AEA"/>
    <w:rsid w:val="00775D57"/>
    <w:rsid w:val="00777D75"/>
    <w:rsid w:val="0078110D"/>
    <w:rsid w:val="007812AD"/>
    <w:rsid w:val="00782591"/>
    <w:rsid w:val="00782F91"/>
    <w:rsid w:val="007839BF"/>
    <w:rsid w:val="007906DC"/>
    <w:rsid w:val="007923FA"/>
    <w:rsid w:val="00793C16"/>
    <w:rsid w:val="007975CB"/>
    <w:rsid w:val="007A15F4"/>
    <w:rsid w:val="007A268F"/>
    <w:rsid w:val="007A30DD"/>
    <w:rsid w:val="007A379E"/>
    <w:rsid w:val="007A50A5"/>
    <w:rsid w:val="007A5AED"/>
    <w:rsid w:val="007A5D6E"/>
    <w:rsid w:val="007B020F"/>
    <w:rsid w:val="007B10E8"/>
    <w:rsid w:val="007B1AC0"/>
    <w:rsid w:val="007B6F04"/>
    <w:rsid w:val="007B79B3"/>
    <w:rsid w:val="007B7F06"/>
    <w:rsid w:val="007C4F55"/>
    <w:rsid w:val="007D22A1"/>
    <w:rsid w:val="007D2F13"/>
    <w:rsid w:val="007D35CC"/>
    <w:rsid w:val="007D6BFB"/>
    <w:rsid w:val="007E0292"/>
    <w:rsid w:val="007E0C2D"/>
    <w:rsid w:val="007E1C89"/>
    <w:rsid w:val="007E2647"/>
    <w:rsid w:val="007E35C5"/>
    <w:rsid w:val="007E79CB"/>
    <w:rsid w:val="007F75AF"/>
    <w:rsid w:val="007F78DB"/>
    <w:rsid w:val="00802792"/>
    <w:rsid w:val="00802E52"/>
    <w:rsid w:val="008077A6"/>
    <w:rsid w:val="0081456A"/>
    <w:rsid w:val="0081471F"/>
    <w:rsid w:val="00814D9A"/>
    <w:rsid w:val="00816137"/>
    <w:rsid w:val="00820A47"/>
    <w:rsid w:val="008222A5"/>
    <w:rsid w:val="00824C1F"/>
    <w:rsid w:val="00830E04"/>
    <w:rsid w:val="00832825"/>
    <w:rsid w:val="00834510"/>
    <w:rsid w:val="008433C8"/>
    <w:rsid w:val="008436D9"/>
    <w:rsid w:val="00844678"/>
    <w:rsid w:val="008450B5"/>
    <w:rsid w:val="00845763"/>
    <w:rsid w:val="008461A4"/>
    <w:rsid w:val="00851C32"/>
    <w:rsid w:val="00855E4A"/>
    <w:rsid w:val="00864677"/>
    <w:rsid w:val="00866DB4"/>
    <w:rsid w:val="0087045C"/>
    <w:rsid w:val="00870FD3"/>
    <w:rsid w:val="00873A33"/>
    <w:rsid w:val="00873DF7"/>
    <w:rsid w:val="00873E10"/>
    <w:rsid w:val="0087515D"/>
    <w:rsid w:val="0088270B"/>
    <w:rsid w:val="00883CF3"/>
    <w:rsid w:val="008861AB"/>
    <w:rsid w:val="008869BE"/>
    <w:rsid w:val="00887C56"/>
    <w:rsid w:val="008902B9"/>
    <w:rsid w:val="008909C7"/>
    <w:rsid w:val="008920A1"/>
    <w:rsid w:val="00892F72"/>
    <w:rsid w:val="00895CDC"/>
    <w:rsid w:val="008978BF"/>
    <w:rsid w:val="008A579D"/>
    <w:rsid w:val="008B44AB"/>
    <w:rsid w:val="008B4580"/>
    <w:rsid w:val="008B4F98"/>
    <w:rsid w:val="008B5D7A"/>
    <w:rsid w:val="008C53E8"/>
    <w:rsid w:val="008D1376"/>
    <w:rsid w:val="008D190A"/>
    <w:rsid w:val="008D3EFD"/>
    <w:rsid w:val="008D6EAA"/>
    <w:rsid w:val="008D7D9C"/>
    <w:rsid w:val="008E3B64"/>
    <w:rsid w:val="008E450E"/>
    <w:rsid w:val="008F5F85"/>
    <w:rsid w:val="009034FD"/>
    <w:rsid w:val="00903D66"/>
    <w:rsid w:val="00910A87"/>
    <w:rsid w:val="009114C2"/>
    <w:rsid w:val="0091327D"/>
    <w:rsid w:val="009155A7"/>
    <w:rsid w:val="00922B34"/>
    <w:rsid w:val="00924AD4"/>
    <w:rsid w:val="00931303"/>
    <w:rsid w:val="0093756B"/>
    <w:rsid w:val="00937DC8"/>
    <w:rsid w:val="00941B75"/>
    <w:rsid w:val="00942EB9"/>
    <w:rsid w:val="00943AA6"/>
    <w:rsid w:val="00946FE6"/>
    <w:rsid w:val="00947411"/>
    <w:rsid w:val="00947920"/>
    <w:rsid w:val="0095145C"/>
    <w:rsid w:val="00951837"/>
    <w:rsid w:val="00953098"/>
    <w:rsid w:val="00953724"/>
    <w:rsid w:val="00953C0A"/>
    <w:rsid w:val="00953F27"/>
    <w:rsid w:val="0095646D"/>
    <w:rsid w:val="00960EA6"/>
    <w:rsid w:val="00963E10"/>
    <w:rsid w:val="00973724"/>
    <w:rsid w:val="0097648E"/>
    <w:rsid w:val="009774B3"/>
    <w:rsid w:val="00981B0D"/>
    <w:rsid w:val="009833C2"/>
    <w:rsid w:val="00986536"/>
    <w:rsid w:val="00986931"/>
    <w:rsid w:val="00996E07"/>
    <w:rsid w:val="00997295"/>
    <w:rsid w:val="00997C31"/>
    <w:rsid w:val="009A0C43"/>
    <w:rsid w:val="009A28F3"/>
    <w:rsid w:val="009A5BEF"/>
    <w:rsid w:val="009A5CE2"/>
    <w:rsid w:val="009A6F85"/>
    <w:rsid w:val="009A7465"/>
    <w:rsid w:val="009B0435"/>
    <w:rsid w:val="009B1F22"/>
    <w:rsid w:val="009B3A54"/>
    <w:rsid w:val="009B4F0B"/>
    <w:rsid w:val="009B6146"/>
    <w:rsid w:val="009B68E7"/>
    <w:rsid w:val="009B77F1"/>
    <w:rsid w:val="009C0302"/>
    <w:rsid w:val="009C2EDE"/>
    <w:rsid w:val="009C7DC6"/>
    <w:rsid w:val="009D0931"/>
    <w:rsid w:val="009D16E2"/>
    <w:rsid w:val="009D2856"/>
    <w:rsid w:val="009D7C48"/>
    <w:rsid w:val="009E0999"/>
    <w:rsid w:val="009E0B4B"/>
    <w:rsid w:val="009E1BD9"/>
    <w:rsid w:val="009E1C09"/>
    <w:rsid w:val="009E6028"/>
    <w:rsid w:val="009F117E"/>
    <w:rsid w:val="009F33D4"/>
    <w:rsid w:val="009F5535"/>
    <w:rsid w:val="00A0129B"/>
    <w:rsid w:val="00A021E1"/>
    <w:rsid w:val="00A02615"/>
    <w:rsid w:val="00A04C89"/>
    <w:rsid w:val="00A0581B"/>
    <w:rsid w:val="00A06648"/>
    <w:rsid w:val="00A165CE"/>
    <w:rsid w:val="00A21084"/>
    <w:rsid w:val="00A21146"/>
    <w:rsid w:val="00A240F2"/>
    <w:rsid w:val="00A254DF"/>
    <w:rsid w:val="00A34FE0"/>
    <w:rsid w:val="00A36842"/>
    <w:rsid w:val="00A407ED"/>
    <w:rsid w:val="00A41694"/>
    <w:rsid w:val="00A41701"/>
    <w:rsid w:val="00A431AA"/>
    <w:rsid w:val="00A4519C"/>
    <w:rsid w:val="00A4528C"/>
    <w:rsid w:val="00A473BE"/>
    <w:rsid w:val="00A5111A"/>
    <w:rsid w:val="00A51355"/>
    <w:rsid w:val="00A52912"/>
    <w:rsid w:val="00A6129D"/>
    <w:rsid w:val="00A648DE"/>
    <w:rsid w:val="00A718B9"/>
    <w:rsid w:val="00A71DA5"/>
    <w:rsid w:val="00A83190"/>
    <w:rsid w:val="00A83D84"/>
    <w:rsid w:val="00A876E7"/>
    <w:rsid w:val="00A91A7E"/>
    <w:rsid w:val="00A9389A"/>
    <w:rsid w:val="00AA4CEF"/>
    <w:rsid w:val="00AA4D30"/>
    <w:rsid w:val="00AA7A7B"/>
    <w:rsid w:val="00AA7DF0"/>
    <w:rsid w:val="00AB11EF"/>
    <w:rsid w:val="00AB22A3"/>
    <w:rsid w:val="00AB6A3B"/>
    <w:rsid w:val="00AC00BC"/>
    <w:rsid w:val="00AC39ED"/>
    <w:rsid w:val="00AC3EA6"/>
    <w:rsid w:val="00AD3DB4"/>
    <w:rsid w:val="00AD5ACB"/>
    <w:rsid w:val="00AD67FC"/>
    <w:rsid w:val="00AE2FEC"/>
    <w:rsid w:val="00AE732C"/>
    <w:rsid w:val="00AF17A4"/>
    <w:rsid w:val="00AF4DB7"/>
    <w:rsid w:val="00AF6175"/>
    <w:rsid w:val="00B050ED"/>
    <w:rsid w:val="00B05F0E"/>
    <w:rsid w:val="00B06E98"/>
    <w:rsid w:val="00B07E3D"/>
    <w:rsid w:val="00B103EB"/>
    <w:rsid w:val="00B12B10"/>
    <w:rsid w:val="00B1338E"/>
    <w:rsid w:val="00B1557C"/>
    <w:rsid w:val="00B15835"/>
    <w:rsid w:val="00B17269"/>
    <w:rsid w:val="00B20897"/>
    <w:rsid w:val="00B223B7"/>
    <w:rsid w:val="00B2328D"/>
    <w:rsid w:val="00B25371"/>
    <w:rsid w:val="00B256CA"/>
    <w:rsid w:val="00B340DD"/>
    <w:rsid w:val="00B36DF7"/>
    <w:rsid w:val="00B37355"/>
    <w:rsid w:val="00B37C43"/>
    <w:rsid w:val="00B40886"/>
    <w:rsid w:val="00B523AB"/>
    <w:rsid w:val="00B54B0B"/>
    <w:rsid w:val="00B55820"/>
    <w:rsid w:val="00B57A17"/>
    <w:rsid w:val="00B63C1E"/>
    <w:rsid w:val="00B64BA3"/>
    <w:rsid w:val="00B6617A"/>
    <w:rsid w:val="00B71234"/>
    <w:rsid w:val="00B7583F"/>
    <w:rsid w:val="00B76C65"/>
    <w:rsid w:val="00B77CA1"/>
    <w:rsid w:val="00B81724"/>
    <w:rsid w:val="00B81DAC"/>
    <w:rsid w:val="00B82ED3"/>
    <w:rsid w:val="00B84105"/>
    <w:rsid w:val="00B86D87"/>
    <w:rsid w:val="00B90AF6"/>
    <w:rsid w:val="00B9461A"/>
    <w:rsid w:val="00B97E85"/>
    <w:rsid w:val="00BA030E"/>
    <w:rsid w:val="00BA57DF"/>
    <w:rsid w:val="00BA71DE"/>
    <w:rsid w:val="00BB0099"/>
    <w:rsid w:val="00BB1F97"/>
    <w:rsid w:val="00BB4850"/>
    <w:rsid w:val="00BB58DD"/>
    <w:rsid w:val="00BC3603"/>
    <w:rsid w:val="00BC5577"/>
    <w:rsid w:val="00BC7E67"/>
    <w:rsid w:val="00BD3B26"/>
    <w:rsid w:val="00BD658E"/>
    <w:rsid w:val="00BE1E44"/>
    <w:rsid w:val="00BE39CE"/>
    <w:rsid w:val="00BF1E61"/>
    <w:rsid w:val="00BF463A"/>
    <w:rsid w:val="00BF5130"/>
    <w:rsid w:val="00BF6A96"/>
    <w:rsid w:val="00C05600"/>
    <w:rsid w:val="00C12E7D"/>
    <w:rsid w:val="00C13044"/>
    <w:rsid w:val="00C1560F"/>
    <w:rsid w:val="00C21FFA"/>
    <w:rsid w:val="00C221C8"/>
    <w:rsid w:val="00C23F7E"/>
    <w:rsid w:val="00C26E9F"/>
    <w:rsid w:val="00C3039C"/>
    <w:rsid w:val="00C30744"/>
    <w:rsid w:val="00C323DE"/>
    <w:rsid w:val="00C34390"/>
    <w:rsid w:val="00C367D8"/>
    <w:rsid w:val="00C376C8"/>
    <w:rsid w:val="00C376E3"/>
    <w:rsid w:val="00C37E9D"/>
    <w:rsid w:val="00C50418"/>
    <w:rsid w:val="00C545AD"/>
    <w:rsid w:val="00C550D3"/>
    <w:rsid w:val="00C5589E"/>
    <w:rsid w:val="00C56FE6"/>
    <w:rsid w:val="00C62C43"/>
    <w:rsid w:val="00C62CD5"/>
    <w:rsid w:val="00C6582C"/>
    <w:rsid w:val="00C66449"/>
    <w:rsid w:val="00C739BA"/>
    <w:rsid w:val="00C747F5"/>
    <w:rsid w:val="00C8008B"/>
    <w:rsid w:val="00C8384E"/>
    <w:rsid w:val="00C91854"/>
    <w:rsid w:val="00C91AF8"/>
    <w:rsid w:val="00C928B4"/>
    <w:rsid w:val="00C93945"/>
    <w:rsid w:val="00C95CAE"/>
    <w:rsid w:val="00C97A1D"/>
    <w:rsid w:val="00CA30B6"/>
    <w:rsid w:val="00CA6F8E"/>
    <w:rsid w:val="00CA7042"/>
    <w:rsid w:val="00CB3612"/>
    <w:rsid w:val="00CB3905"/>
    <w:rsid w:val="00CB5A8B"/>
    <w:rsid w:val="00CB7C7B"/>
    <w:rsid w:val="00CC28ED"/>
    <w:rsid w:val="00CC38F6"/>
    <w:rsid w:val="00CC54D3"/>
    <w:rsid w:val="00CC6D86"/>
    <w:rsid w:val="00CC7ACB"/>
    <w:rsid w:val="00CD1546"/>
    <w:rsid w:val="00CD2535"/>
    <w:rsid w:val="00CD42C3"/>
    <w:rsid w:val="00CD4BEB"/>
    <w:rsid w:val="00CD5F59"/>
    <w:rsid w:val="00CE077D"/>
    <w:rsid w:val="00CE6F74"/>
    <w:rsid w:val="00CF2979"/>
    <w:rsid w:val="00CF2B26"/>
    <w:rsid w:val="00CF4BFC"/>
    <w:rsid w:val="00CF545A"/>
    <w:rsid w:val="00CF7BF1"/>
    <w:rsid w:val="00D00E12"/>
    <w:rsid w:val="00D0110E"/>
    <w:rsid w:val="00D020A4"/>
    <w:rsid w:val="00D04A97"/>
    <w:rsid w:val="00D10835"/>
    <w:rsid w:val="00D11DDF"/>
    <w:rsid w:val="00D13645"/>
    <w:rsid w:val="00D15E28"/>
    <w:rsid w:val="00D16D57"/>
    <w:rsid w:val="00D175A4"/>
    <w:rsid w:val="00D17FA8"/>
    <w:rsid w:val="00D2072C"/>
    <w:rsid w:val="00D21669"/>
    <w:rsid w:val="00D22B07"/>
    <w:rsid w:val="00D22B60"/>
    <w:rsid w:val="00D306D3"/>
    <w:rsid w:val="00D3407F"/>
    <w:rsid w:val="00D37E2F"/>
    <w:rsid w:val="00D40617"/>
    <w:rsid w:val="00D42C69"/>
    <w:rsid w:val="00D43ECD"/>
    <w:rsid w:val="00D44DF6"/>
    <w:rsid w:val="00D46049"/>
    <w:rsid w:val="00D4610B"/>
    <w:rsid w:val="00D46193"/>
    <w:rsid w:val="00D478FD"/>
    <w:rsid w:val="00D47904"/>
    <w:rsid w:val="00D50E40"/>
    <w:rsid w:val="00D51FAF"/>
    <w:rsid w:val="00D54665"/>
    <w:rsid w:val="00D5538B"/>
    <w:rsid w:val="00D55F50"/>
    <w:rsid w:val="00D5710A"/>
    <w:rsid w:val="00D60CB1"/>
    <w:rsid w:val="00D6308C"/>
    <w:rsid w:val="00D65295"/>
    <w:rsid w:val="00D66C31"/>
    <w:rsid w:val="00D70071"/>
    <w:rsid w:val="00D74812"/>
    <w:rsid w:val="00D75C14"/>
    <w:rsid w:val="00D762C2"/>
    <w:rsid w:val="00D76C4B"/>
    <w:rsid w:val="00D811CF"/>
    <w:rsid w:val="00D8153D"/>
    <w:rsid w:val="00D85745"/>
    <w:rsid w:val="00D86503"/>
    <w:rsid w:val="00D91A59"/>
    <w:rsid w:val="00D96202"/>
    <w:rsid w:val="00D9679A"/>
    <w:rsid w:val="00DA73A2"/>
    <w:rsid w:val="00DA79F7"/>
    <w:rsid w:val="00DB042F"/>
    <w:rsid w:val="00DB1AC0"/>
    <w:rsid w:val="00DB1DB1"/>
    <w:rsid w:val="00DB1F71"/>
    <w:rsid w:val="00DB716B"/>
    <w:rsid w:val="00DC0BB8"/>
    <w:rsid w:val="00DC1EDA"/>
    <w:rsid w:val="00DC6637"/>
    <w:rsid w:val="00DD1A1C"/>
    <w:rsid w:val="00DD2FB0"/>
    <w:rsid w:val="00DD628A"/>
    <w:rsid w:val="00DE2D05"/>
    <w:rsid w:val="00DE3CFC"/>
    <w:rsid w:val="00DE49B5"/>
    <w:rsid w:val="00DF0566"/>
    <w:rsid w:val="00DF5654"/>
    <w:rsid w:val="00E06AF7"/>
    <w:rsid w:val="00E06EBD"/>
    <w:rsid w:val="00E10EAF"/>
    <w:rsid w:val="00E123B8"/>
    <w:rsid w:val="00E123D3"/>
    <w:rsid w:val="00E1546D"/>
    <w:rsid w:val="00E16074"/>
    <w:rsid w:val="00E220FA"/>
    <w:rsid w:val="00E23314"/>
    <w:rsid w:val="00E277F2"/>
    <w:rsid w:val="00E30A51"/>
    <w:rsid w:val="00E338B7"/>
    <w:rsid w:val="00E33D03"/>
    <w:rsid w:val="00E35DF0"/>
    <w:rsid w:val="00E40801"/>
    <w:rsid w:val="00E51198"/>
    <w:rsid w:val="00E53E7F"/>
    <w:rsid w:val="00E62A4B"/>
    <w:rsid w:val="00E654CA"/>
    <w:rsid w:val="00E65F0F"/>
    <w:rsid w:val="00E67700"/>
    <w:rsid w:val="00E70819"/>
    <w:rsid w:val="00E70E7F"/>
    <w:rsid w:val="00E72FBE"/>
    <w:rsid w:val="00E73AF9"/>
    <w:rsid w:val="00E75340"/>
    <w:rsid w:val="00E77AAF"/>
    <w:rsid w:val="00E80DC7"/>
    <w:rsid w:val="00E815B8"/>
    <w:rsid w:val="00E82A4D"/>
    <w:rsid w:val="00E8330C"/>
    <w:rsid w:val="00E85690"/>
    <w:rsid w:val="00E91BAE"/>
    <w:rsid w:val="00E94315"/>
    <w:rsid w:val="00E95E5A"/>
    <w:rsid w:val="00EA0439"/>
    <w:rsid w:val="00EA10FB"/>
    <w:rsid w:val="00EA4682"/>
    <w:rsid w:val="00EA488B"/>
    <w:rsid w:val="00EA5C2D"/>
    <w:rsid w:val="00EB18FC"/>
    <w:rsid w:val="00EB4231"/>
    <w:rsid w:val="00EB68FB"/>
    <w:rsid w:val="00EC2234"/>
    <w:rsid w:val="00ED0391"/>
    <w:rsid w:val="00ED07CA"/>
    <w:rsid w:val="00ED0FAF"/>
    <w:rsid w:val="00ED431D"/>
    <w:rsid w:val="00ED5A4B"/>
    <w:rsid w:val="00ED785A"/>
    <w:rsid w:val="00EE0917"/>
    <w:rsid w:val="00EE1185"/>
    <w:rsid w:val="00EE1C51"/>
    <w:rsid w:val="00EE4423"/>
    <w:rsid w:val="00EF493E"/>
    <w:rsid w:val="00EF62A5"/>
    <w:rsid w:val="00EF799D"/>
    <w:rsid w:val="00F004DF"/>
    <w:rsid w:val="00F0078F"/>
    <w:rsid w:val="00F00B03"/>
    <w:rsid w:val="00F0275C"/>
    <w:rsid w:val="00F0560B"/>
    <w:rsid w:val="00F11707"/>
    <w:rsid w:val="00F11A61"/>
    <w:rsid w:val="00F11E9C"/>
    <w:rsid w:val="00F11FA0"/>
    <w:rsid w:val="00F14B3C"/>
    <w:rsid w:val="00F15082"/>
    <w:rsid w:val="00F1555F"/>
    <w:rsid w:val="00F20D95"/>
    <w:rsid w:val="00F21736"/>
    <w:rsid w:val="00F3409E"/>
    <w:rsid w:val="00F3410D"/>
    <w:rsid w:val="00F42840"/>
    <w:rsid w:val="00F42EB0"/>
    <w:rsid w:val="00F45A42"/>
    <w:rsid w:val="00F45CD7"/>
    <w:rsid w:val="00F45E2F"/>
    <w:rsid w:val="00F46CF4"/>
    <w:rsid w:val="00F475E9"/>
    <w:rsid w:val="00F50B3E"/>
    <w:rsid w:val="00F5233B"/>
    <w:rsid w:val="00F5451D"/>
    <w:rsid w:val="00F545B6"/>
    <w:rsid w:val="00F6046E"/>
    <w:rsid w:val="00F6140B"/>
    <w:rsid w:val="00F617D7"/>
    <w:rsid w:val="00F6342A"/>
    <w:rsid w:val="00F679AF"/>
    <w:rsid w:val="00F741B6"/>
    <w:rsid w:val="00F76A58"/>
    <w:rsid w:val="00F777D8"/>
    <w:rsid w:val="00F80581"/>
    <w:rsid w:val="00F82FAE"/>
    <w:rsid w:val="00F874A7"/>
    <w:rsid w:val="00F94DD8"/>
    <w:rsid w:val="00F9598A"/>
    <w:rsid w:val="00F970A3"/>
    <w:rsid w:val="00F97398"/>
    <w:rsid w:val="00FA0711"/>
    <w:rsid w:val="00FA25E0"/>
    <w:rsid w:val="00FB50D3"/>
    <w:rsid w:val="00FB591B"/>
    <w:rsid w:val="00FB5CCC"/>
    <w:rsid w:val="00FC22B2"/>
    <w:rsid w:val="00FC268F"/>
    <w:rsid w:val="00FC5C28"/>
    <w:rsid w:val="00FD0263"/>
    <w:rsid w:val="00FD0F4F"/>
    <w:rsid w:val="00FD1355"/>
    <w:rsid w:val="00FD2CA7"/>
    <w:rsid w:val="00FD2E57"/>
    <w:rsid w:val="00FE203E"/>
    <w:rsid w:val="00FE3201"/>
    <w:rsid w:val="00FE3B61"/>
    <w:rsid w:val="00FE5678"/>
    <w:rsid w:val="00FE6584"/>
    <w:rsid w:val="00FF189B"/>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03A7"/>
  <w15:chartTrackingRefBased/>
  <w15:docId w15:val="{F38E5FC9-0900-46A2-99DA-E3A9BF9F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314"/>
    <w:pPr>
      <w:ind w:left="720"/>
      <w:contextualSpacing/>
    </w:pPr>
  </w:style>
  <w:style w:type="character" w:styleId="Hyperlink">
    <w:name w:val="Hyperlink"/>
    <w:basedOn w:val="DefaultParagraphFont"/>
    <w:uiPriority w:val="99"/>
    <w:unhideWhenUsed/>
    <w:rsid w:val="007232B2"/>
    <w:rPr>
      <w:color w:val="0563C1" w:themeColor="hyperlink"/>
      <w:u w:val="single"/>
    </w:rPr>
  </w:style>
  <w:style w:type="paragraph" w:styleId="Header">
    <w:name w:val="header"/>
    <w:basedOn w:val="Normal"/>
    <w:link w:val="HeaderChar"/>
    <w:uiPriority w:val="99"/>
    <w:unhideWhenUsed/>
    <w:rsid w:val="00F6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0B"/>
  </w:style>
  <w:style w:type="paragraph" w:styleId="Footer">
    <w:name w:val="footer"/>
    <w:basedOn w:val="Normal"/>
    <w:link w:val="FooterChar"/>
    <w:uiPriority w:val="99"/>
    <w:unhideWhenUsed/>
    <w:rsid w:val="00F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0B"/>
  </w:style>
  <w:style w:type="paragraph" w:styleId="NormalWeb">
    <w:name w:val="Normal (Web)"/>
    <w:basedOn w:val="Normal"/>
    <w:uiPriority w:val="99"/>
    <w:unhideWhenUsed/>
    <w:rsid w:val="0007469A"/>
    <w:rPr>
      <w:rFonts w:ascii="Times New Roman" w:hAnsi="Times New Roman" w:cs="Times New Roman"/>
      <w:sz w:val="24"/>
      <w:szCs w:val="24"/>
    </w:rPr>
  </w:style>
  <w:style w:type="character" w:styleId="Emphasis">
    <w:name w:val="Emphasis"/>
    <w:basedOn w:val="DefaultParagraphFont"/>
    <w:uiPriority w:val="20"/>
    <w:qFormat/>
    <w:rsid w:val="008A579D"/>
    <w:rPr>
      <w:i/>
      <w:iCs/>
    </w:rPr>
  </w:style>
  <w:style w:type="character" w:styleId="UnresolvedMention">
    <w:name w:val="Unresolved Mention"/>
    <w:basedOn w:val="DefaultParagraphFont"/>
    <w:uiPriority w:val="99"/>
    <w:semiHidden/>
    <w:unhideWhenUsed/>
    <w:rsid w:val="00DD628A"/>
    <w:rPr>
      <w:color w:val="605E5C"/>
      <w:shd w:val="clear" w:color="auto" w:fill="E1DFDD"/>
    </w:rPr>
  </w:style>
  <w:style w:type="paragraph" w:styleId="NoSpacing">
    <w:name w:val="No Spacing"/>
    <w:uiPriority w:val="1"/>
    <w:qFormat/>
    <w:rsid w:val="008222A5"/>
    <w:pPr>
      <w:spacing w:after="0" w:line="240" w:lineRule="auto"/>
    </w:pPr>
  </w:style>
  <w:style w:type="character" w:customStyle="1" w:styleId="me-email-text">
    <w:name w:val="me-email-text"/>
    <w:basedOn w:val="DefaultParagraphFont"/>
    <w:rsid w:val="00AD5ACB"/>
  </w:style>
  <w:style w:type="character" w:customStyle="1" w:styleId="me-email-text-secondary">
    <w:name w:val="me-email-text-secondary"/>
    <w:basedOn w:val="DefaultParagraphFont"/>
    <w:rsid w:val="00AD5ACB"/>
  </w:style>
  <w:style w:type="character" w:styleId="FollowedHyperlink">
    <w:name w:val="FollowedHyperlink"/>
    <w:basedOn w:val="DefaultParagraphFont"/>
    <w:uiPriority w:val="99"/>
    <w:semiHidden/>
    <w:unhideWhenUsed/>
    <w:rsid w:val="00AD5ACB"/>
    <w:rPr>
      <w:color w:val="954F72" w:themeColor="followedHyperlink"/>
      <w:u w:val="single"/>
    </w:rPr>
  </w:style>
  <w:style w:type="paragraph" w:customStyle="1" w:styleId="Default">
    <w:name w:val="Default"/>
    <w:rsid w:val="00E51198"/>
    <w:pPr>
      <w:autoSpaceDE w:val="0"/>
      <w:autoSpaceDN w:val="0"/>
      <w:adjustRightInd w:val="0"/>
      <w:spacing w:after="0" w:line="240" w:lineRule="auto"/>
    </w:pPr>
    <w:rPr>
      <w:rFonts w:ascii="Arial" w:hAnsi="Arial" w:cs="Arial"/>
      <w:color w:val="000000"/>
      <w:sz w:val="24"/>
      <w:szCs w:val="24"/>
      <w14:ligatures w14:val="standardContextual"/>
    </w:rPr>
  </w:style>
  <w:style w:type="paragraph" w:styleId="Quote">
    <w:name w:val="Quote"/>
    <w:basedOn w:val="Normal"/>
    <w:next w:val="Normal"/>
    <w:link w:val="QuoteChar"/>
    <w:uiPriority w:val="29"/>
    <w:qFormat/>
    <w:rsid w:val="007A50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A50A5"/>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40">
      <w:bodyDiv w:val="1"/>
      <w:marLeft w:val="0"/>
      <w:marRight w:val="0"/>
      <w:marTop w:val="0"/>
      <w:marBottom w:val="0"/>
      <w:divBdr>
        <w:top w:val="none" w:sz="0" w:space="0" w:color="auto"/>
        <w:left w:val="none" w:sz="0" w:space="0" w:color="auto"/>
        <w:bottom w:val="none" w:sz="0" w:space="0" w:color="auto"/>
        <w:right w:val="none" w:sz="0" w:space="0" w:color="auto"/>
      </w:divBdr>
    </w:div>
    <w:div w:id="198402533">
      <w:bodyDiv w:val="1"/>
      <w:marLeft w:val="0"/>
      <w:marRight w:val="0"/>
      <w:marTop w:val="0"/>
      <w:marBottom w:val="0"/>
      <w:divBdr>
        <w:top w:val="none" w:sz="0" w:space="0" w:color="auto"/>
        <w:left w:val="none" w:sz="0" w:space="0" w:color="auto"/>
        <w:bottom w:val="none" w:sz="0" w:space="0" w:color="auto"/>
        <w:right w:val="none" w:sz="0" w:space="0" w:color="auto"/>
      </w:divBdr>
    </w:div>
    <w:div w:id="210466173">
      <w:bodyDiv w:val="1"/>
      <w:marLeft w:val="0"/>
      <w:marRight w:val="0"/>
      <w:marTop w:val="0"/>
      <w:marBottom w:val="0"/>
      <w:divBdr>
        <w:top w:val="none" w:sz="0" w:space="0" w:color="auto"/>
        <w:left w:val="none" w:sz="0" w:space="0" w:color="auto"/>
        <w:bottom w:val="none" w:sz="0" w:space="0" w:color="auto"/>
        <w:right w:val="none" w:sz="0" w:space="0" w:color="auto"/>
      </w:divBdr>
    </w:div>
    <w:div w:id="223418618">
      <w:bodyDiv w:val="1"/>
      <w:marLeft w:val="0"/>
      <w:marRight w:val="0"/>
      <w:marTop w:val="0"/>
      <w:marBottom w:val="0"/>
      <w:divBdr>
        <w:top w:val="none" w:sz="0" w:space="0" w:color="auto"/>
        <w:left w:val="none" w:sz="0" w:space="0" w:color="auto"/>
        <w:bottom w:val="none" w:sz="0" w:space="0" w:color="auto"/>
        <w:right w:val="none" w:sz="0" w:space="0" w:color="auto"/>
      </w:divBdr>
    </w:div>
    <w:div w:id="332806268">
      <w:bodyDiv w:val="1"/>
      <w:marLeft w:val="0"/>
      <w:marRight w:val="0"/>
      <w:marTop w:val="0"/>
      <w:marBottom w:val="0"/>
      <w:divBdr>
        <w:top w:val="none" w:sz="0" w:space="0" w:color="auto"/>
        <w:left w:val="none" w:sz="0" w:space="0" w:color="auto"/>
        <w:bottom w:val="none" w:sz="0" w:space="0" w:color="auto"/>
        <w:right w:val="none" w:sz="0" w:space="0" w:color="auto"/>
      </w:divBdr>
      <w:divsChild>
        <w:div w:id="895239971">
          <w:marLeft w:val="288"/>
          <w:marRight w:val="0"/>
          <w:marTop w:val="240"/>
          <w:marBottom w:val="0"/>
          <w:divBdr>
            <w:top w:val="none" w:sz="0" w:space="0" w:color="auto"/>
            <w:left w:val="none" w:sz="0" w:space="0" w:color="auto"/>
            <w:bottom w:val="none" w:sz="0" w:space="0" w:color="auto"/>
            <w:right w:val="none" w:sz="0" w:space="0" w:color="auto"/>
          </w:divBdr>
        </w:div>
        <w:div w:id="1682586075">
          <w:marLeft w:val="720"/>
          <w:marRight w:val="0"/>
          <w:marTop w:val="80"/>
          <w:marBottom w:val="40"/>
          <w:divBdr>
            <w:top w:val="none" w:sz="0" w:space="0" w:color="auto"/>
            <w:left w:val="none" w:sz="0" w:space="0" w:color="auto"/>
            <w:bottom w:val="none" w:sz="0" w:space="0" w:color="auto"/>
            <w:right w:val="none" w:sz="0" w:space="0" w:color="auto"/>
          </w:divBdr>
        </w:div>
        <w:div w:id="718556369">
          <w:marLeft w:val="720"/>
          <w:marRight w:val="0"/>
          <w:marTop w:val="80"/>
          <w:marBottom w:val="40"/>
          <w:divBdr>
            <w:top w:val="none" w:sz="0" w:space="0" w:color="auto"/>
            <w:left w:val="none" w:sz="0" w:space="0" w:color="auto"/>
            <w:bottom w:val="none" w:sz="0" w:space="0" w:color="auto"/>
            <w:right w:val="none" w:sz="0" w:space="0" w:color="auto"/>
          </w:divBdr>
        </w:div>
      </w:divsChild>
    </w:div>
    <w:div w:id="441875108">
      <w:bodyDiv w:val="1"/>
      <w:marLeft w:val="0"/>
      <w:marRight w:val="0"/>
      <w:marTop w:val="0"/>
      <w:marBottom w:val="0"/>
      <w:divBdr>
        <w:top w:val="none" w:sz="0" w:space="0" w:color="auto"/>
        <w:left w:val="none" w:sz="0" w:space="0" w:color="auto"/>
        <w:bottom w:val="none" w:sz="0" w:space="0" w:color="auto"/>
        <w:right w:val="none" w:sz="0" w:space="0" w:color="auto"/>
      </w:divBdr>
    </w:div>
    <w:div w:id="862131126">
      <w:bodyDiv w:val="1"/>
      <w:marLeft w:val="0"/>
      <w:marRight w:val="0"/>
      <w:marTop w:val="0"/>
      <w:marBottom w:val="0"/>
      <w:divBdr>
        <w:top w:val="none" w:sz="0" w:space="0" w:color="auto"/>
        <w:left w:val="none" w:sz="0" w:space="0" w:color="auto"/>
        <w:bottom w:val="none" w:sz="0" w:space="0" w:color="auto"/>
        <w:right w:val="none" w:sz="0" w:space="0" w:color="auto"/>
      </w:divBdr>
      <w:divsChild>
        <w:div w:id="2017875676">
          <w:marLeft w:val="720"/>
          <w:marRight w:val="0"/>
          <w:marTop w:val="80"/>
          <w:marBottom w:val="40"/>
          <w:divBdr>
            <w:top w:val="none" w:sz="0" w:space="0" w:color="auto"/>
            <w:left w:val="none" w:sz="0" w:space="0" w:color="auto"/>
            <w:bottom w:val="none" w:sz="0" w:space="0" w:color="auto"/>
            <w:right w:val="none" w:sz="0" w:space="0" w:color="auto"/>
          </w:divBdr>
        </w:div>
        <w:div w:id="603802240">
          <w:marLeft w:val="720"/>
          <w:marRight w:val="0"/>
          <w:marTop w:val="80"/>
          <w:marBottom w:val="40"/>
          <w:divBdr>
            <w:top w:val="none" w:sz="0" w:space="0" w:color="auto"/>
            <w:left w:val="none" w:sz="0" w:space="0" w:color="auto"/>
            <w:bottom w:val="none" w:sz="0" w:space="0" w:color="auto"/>
            <w:right w:val="none" w:sz="0" w:space="0" w:color="auto"/>
          </w:divBdr>
        </w:div>
        <w:div w:id="796408718">
          <w:marLeft w:val="720"/>
          <w:marRight w:val="0"/>
          <w:marTop w:val="80"/>
          <w:marBottom w:val="40"/>
          <w:divBdr>
            <w:top w:val="none" w:sz="0" w:space="0" w:color="auto"/>
            <w:left w:val="none" w:sz="0" w:space="0" w:color="auto"/>
            <w:bottom w:val="none" w:sz="0" w:space="0" w:color="auto"/>
            <w:right w:val="none" w:sz="0" w:space="0" w:color="auto"/>
          </w:divBdr>
        </w:div>
        <w:div w:id="691491439">
          <w:marLeft w:val="1152"/>
          <w:marRight w:val="0"/>
          <w:marTop w:val="80"/>
          <w:marBottom w:val="40"/>
          <w:divBdr>
            <w:top w:val="none" w:sz="0" w:space="0" w:color="auto"/>
            <w:left w:val="none" w:sz="0" w:space="0" w:color="auto"/>
            <w:bottom w:val="none" w:sz="0" w:space="0" w:color="auto"/>
            <w:right w:val="none" w:sz="0" w:space="0" w:color="auto"/>
          </w:divBdr>
        </w:div>
        <w:div w:id="497962999">
          <w:marLeft w:val="1152"/>
          <w:marRight w:val="0"/>
          <w:marTop w:val="80"/>
          <w:marBottom w:val="40"/>
          <w:divBdr>
            <w:top w:val="none" w:sz="0" w:space="0" w:color="auto"/>
            <w:left w:val="none" w:sz="0" w:space="0" w:color="auto"/>
            <w:bottom w:val="none" w:sz="0" w:space="0" w:color="auto"/>
            <w:right w:val="none" w:sz="0" w:space="0" w:color="auto"/>
          </w:divBdr>
        </w:div>
        <w:div w:id="1605839509">
          <w:marLeft w:val="1152"/>
          <w:marRight w:val="0"/>
          <w:marTop w:val="80"/>
          <w:marBottom w:val="40"/>
          <w:divBdr>
            <w:top w:val="none" w:sz="0" w:space="0" w:color="auto"/>
            <w:left w:val="none" w:sz="0" w:space="0" w:color="auto"/>
            <w:bottom w:val="none" w:sz="0" w:space="0" w:color="auto"/>
            <w:right w:val="none" w:sz="0" w:space="0" w:color="auto"/>
          </w:divBdr>
        </w:div>
      </w:divsChild>
    </w:div>
    <w:div w:id="958491302">
      <w:bodyDiv w:val="1"/>
      <w:marLeft w:val="0"/>
      <w:marRight w:val="0"/>
      <w:marTop w:val="0"/>
      <w:marBottom w:val="0"/>
      <w:divBdr>
        <w:top w:val="none" w:sz="0" w:space="0" w:color="auto"/>
        <w:left w:val="none" w:sz="0" w:space="0" w:color="auto"/>
        <w:bottom w:val="none" w:sz="0" w:space="0" w:color="auto"/>
        <w:right w:val="none" w:sz="0" w:space="0" w:color="auto"/>
      </w:divBdr>
    </w:div>
    <w:div w:id="1168057967">
      <w:bodyDiv w:val="1"/>
      <w:marLeft w:val="0"/>
      <w:marRight w:val="0"/>
      <w:marTop w:val="0"/>
      <w:marBottom w:val="0"/>
      <w:divBdr>
        <w:top w:val="none" w:sz="0" w:space="0" w:color="auto"/>
        <w:left w:val="none" w:sz="0" w:space="0" w:color="auto"/>
        <w:bottom w:val="none" w:sz="0" w:space="0" w:color="auto"/>
        <w:right w:val="none" w:sz="0" w:space="0" w:color="auto"/>
      </w:divBdr>
    </w:div>
    <w:div w:id="1462307684">
      <w:bodyDiv w:val="1"/>
      <w:marLeft w:val="0"/>
      <w:marRight w:val="0"/>
      <w:marTop w:val="0"/>
      <w:marBottom w:val="0"/>
      <w:divBdr>
        <w:top w:val="none" w:sz="0" w:space="0" w:color="auto"/>
        <w:left w:val="none" w:sz="0" w:space="0" w:color="auto"/>
        <w:bottom w:val="none" w:sz="0" w:space="0" w:color="auto"/>
        <w:right w:val="none" w:sz="0" w:space="0" w:color="auto"/>
      </w:divBdr>
    </w:div>
    <w:div w:id="1677616361">
      <w:bodyDiv w:val="1"/>
      <w:marLeft w:val="0"/>
      <w:marRight w:val="0"/>
      <w:marTop w:val="0"/>
      <w:marBottom w:val="0"/>
      <w:divBdr>
        <w:top w:val="none" w:sz="0" w:space="0" w:color="auto"/>
        <w:left w:val="none" w:sz="0" w:space="0" w:color="auto"/>
        <w:bottom w:val="none" w:sz="0" w:space="0" w:color="auto"/>
        <w:right w:val="none" w:sz="0" w:space="0" w:color="auto"/>
      </w:divBdr>
    </w:div>
    <w:div w:id="1782644738">
      <w:bodyDiv w:val="1"/>
      <w:marLeft w:val="0"/>
      <w:marRight w:val="0"/>
      <w:marTop w:val="0"/>
      <w:marBottom w:val="0"/>
      <w:divBdr>
        <w:top w:val="none" w:sz="0" w:space="0" w:color="auto"/>
        <w:left w:val="none" w:sz="0" w:space="0" w:color="auto"/>
        <w:bottom w:val="none" w:sz="0" w:space="0" w:color="auto"/>
        <w:right w:val="none" w:sz="0" w:space="0" w:color="auto"/>
      </w:divBdr>
    </w:div>
    <w:div w:id="1980726491">
      <w:bodyDiv w:val="1"/>
      <w:marLeft w:val="0"/>
      <w:marRight w:val="0"/>
      <w:marTop w:val="0"/>
      <w:marBottom w:val="0"/>
      <w:divBdr>
        <w:top w:val="none" w:sz="0" w:space="0" w:color="auto"/>
        <w:left w:val="none" w:sz="0" w:space="0" w:color="auto"/>
        <w:bottom w:val="none" w:sz="0" w:space="0" w:color="auto"/>
        <w:right w:val="none" w:sz="0" w:space="0" w:color="auto"/>
      </w:divBdr>
      <w:divsChild>
        <w:div w:id="285623772">
          <w:marLeft w:val="720"/>
          <w:marRight w:val="0"/>
          <w:marTop w:val="80"/>
          <w:marBottom w:val="40"/>
          <w:divBdr>
            <w:top w:val="none" w:sz="0" w:space="0" w:color="auto"/>
            <w:left w:val="none" w:sz="0" w:space="0" w:color="auto"/>
            <w:bottom w:val="none" w:sz="0" w:space="0" w:color="auto"/>
            <w:right w:val="none" w:sz="0" w:space="0" w:color="auto"/>
          </w:divBdr>
        </w:div>
        <w:div w:id="777334635">
          <w:marLeft w:val="720"/>
          <w:marRight w:val="0"/>
          <w:marTop w:val="80"/>
          <w:marBottom w:val="40"/>
          <w:divBdr>
            <w:top w:val="none" w:sz="0" w:space="0" w:color="auto"/>
            <w:left w:val="none" w:sz="0" w:space="0" w:color="auto"/>
            <w:bottom w:val="none" w:sz="0" w:space="0" w:color="auto"/>
            <w:right w:val="none" w:sz="0" w:space="0" w:color="auto"/>
          </w:divBdr>
        </w:div>
        <w:div w:id="711078767">
          <w:marLeft w:val="720"/>
          <w:marRight w:val="0"/>
          <w:marTop w:val="80"/>
          <w:marBottom w:val="40"/>
          <w:divBdr>
            <w:top w:val="none" w:sz="0" w:space="0" w:color="auto"/>
            <w:left w:val="none" w:sz="0" w:space="0" w:color="auto"/>
            <w:bottom w:val="none" w:sz="0" w:space="0" w:color="auto"/>
            <w:right w:val="none" w:sz="0" w:space="0" w:color="auto"/>
          </w:divBdr>
        </w:div>
        <w:div w:id="1677150175">
          <w:marLeft w:val="720"/>
          <w:marRight w:val="0"/>
          <w:marTop w:val="80"/>
          <w:marBottom w:val="40"/>
          <w:divBdr>
            <w:top w:val="none" w:sz="0" w:space="0" w:color="auto"/>
            <w:left w:val="none" w:sz="0" w:space="0" w:color="auto"/>
            <w:bottom w:val="none" w:sz="0" w:space="0" w:color="auto"/>
            <w:right w:val="none" w:sz="0" w:space="0" w:color="auto"/>
          </w:divBdr>
        </w:div>
        <w:div w:id="1930458423">
          <w:marLeft w:val="720"/>
          <w:marRight w:val="0"/>
          <w:marTop w:val="80"/>
          <w:marBottom w:val="40"/>
          <w:divBdr>
            <w:top w:val="none" w:sz="0" w:space="0" w:color="auto"/>
            <w:left w:val="none" w:sz="0" w:space="0" w:color="auto"/>
            <w:bottom w:val="none" w:sz="0" w:space="0" w:color="auto"/>
            <w:right w:val="none" w:sz="0" w:space="0" w:color="auto"/>
          </w:divBdr>
        </w:div>
        <w:div w:id="254091304">
          <w:marLeft w:val="720"/>
          <w:marRight w:val="0"/>
          <w:marTop w:val="80"/>
          <w:marBottom w:val="40"/>
          <w:divBdr>
            <w:top w:val="none" w:sz="0" w:space="0" w:color="auto"/>
            <w:left w:val="none" w:sz="0" w:space="0" w:color="auto"/>
            <w:bottom w:val="none" w:sz="0" w:space="0" w:color="auto"/>
            <w:right w:val="none" w:sz="0" w:space="0" w:color="auto"/>
          </w:divBdr>
        </w:div>
        <w:div w:id="1746491206">
          <w:marLeft w:val="720"/>
          <w:marRight w:val="0"/>
          <w:marTop w:val="80"/>
          <w:marBottom w:val="40"/>
          <w:divBdr>
            <w:top w:val="none" w:sz="0" w:space="0" w:color="auto"/>
            <w:left w:val="none" w:sz="0" w:space="0" w:color="auto"/>
            <w:bottom w:val="none" w:sz="0" w:space="0" w:color="auto"/>
            <w:right w:val="none" w:sz="0" w:space="0" w:color="auto"/>
          </w:divBdr>
        </w:div>
        <w:div w:id="1262445768">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nepincounty.gov/government/projects-initiatives/housing-and-homelessness/continuum-of-care-partnership-to-end-homelessness" TargetMode="External"/><Relationship Id="rId13" Type="http://schemas.openxmlformats.org/officeDocument/2006/relationships/hyperlink" Target="https://www.hennepincounty.gov/government/projects-initiatives/housing-and-homelessness/continuum-of-care-partnership-to-end-homeless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ants.gov/search-results-detail/361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derosier@hennepin.us" TargetMode="External"/><Relationship Id="rId5" Type="http://schemas.openxmlformats.org/officeDocument/2006/relationships/webSettings" Target="webSettings.xml"/><Relationship Id="rId15" Type="http://schemas.openxmlformats.org/officeDocument/2006/relationships/hyperlink" Target="mailto:e-snaps@hud.gov" TargetMode="External"/><Relationship Id="rId10" Type="http://schemas.openxmlformats.org/officeDocument/2006/relationships/hyperlink" Target="mailto:laura.derosier@hennepin.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55294170193035?p=tTkB73utgYBWZlogI4" TargetMode="External"/><Relationship Id="rId14" Type="http://schemas.openxmlformats.org/officeDocument/2006/relationships/hyperlink" Target="mailto:CoCNOFO@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DECB-EC32-45A2-A175-B7EE2C19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DeRosier</dc:creator>
  <cp:keywords/>
  <dc:description/>
  <cp:lastModifiedBy>Laura A DeRosier</cp:lastModifiedBy>
  <cp:revision>119</cp:revision>
  <dcterms:created xsi:type="dcterms:W3CDTF">2026-06-04T20:03:00Z</dcterms:created>
  <dcterms:modified xsi:type="dcterms:W3CDTF">2026-07-09T18:08:00Z</dcterms:modified>
</cp:coreProperties>
</file>